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line="240" w:lineRule="auto"/>
        <w:rPr>
          <w:rFonts w:asciiTheme="minorHAnsi" w:hAnsiTheme="minorHAnsi" w:cs="Arial"/>
          <w:b/>
          <w:sz w:val="30"/>
          <w:szCs w:val="30"/>
        </w:rPr>
      </w:pPr>
      <w:r>
        <w:rPr>
          <w:rFonts w:asciiTheme="minorHAnsi" w:hAnsiTheme="minorHAnsi" w:cs="Arial"/>
          <w:b/>
          <w:sz w:val="30"/>
          <w:szCs w:val="30"/>
        </w:rPr>
        <w:t>Berufskrankheit Corona: mehr als vier von zehn Fällen nicht anerkannt</w:t>
      </w:r>
    </w:p>
    <w:p>
      <w:pPr>
        <w:tabs>
          <w:tab w:val="left" w:pos="3660"/>
        </w:tabs>
        <w:spacing w:after="0" w:line="240" w:lineRule="auto"/>
        <w:jc w:val="both"/>
        <w:rPr>
          <w:rFonts w:asciiTheme="minorHAnsi" w:hAnsiTheme="minorHAnsi" w:cs="Arial"/>
          <w:b/>
          <w:sz w:val="32"/>
          <w:szCs w:val="32"/>
        </w:rPr>
      </w:pPr>
      <w:bookmarkStart w:id="0" w:name="_Hlk67306507"/>
      <w:r>
        <w:rPr>
          <w:rFonts w:asciiTheme="minorHAnsi" w:hAnsiTheme="minorHAnsi" w:cs="Arial"/>
          <w:b/>
        </w:rPr>
        <w:t>Auswertung der Antwort der Bundesregierung auf die Schriftliche Fragen Nr. 243 bis 246 von Jutta Krellmann, Fraktion DIE LINKE im Bundestag.</w:t>
      </w:r>
    </w:p>
    <w:bookmarkEnd w:id="0"/>
    <w:p>
      <w:pPr>
        <w:spacing w:after="0" w:line="240" w:lineRule="auto"/>
        <w:jc w:val="both"/>
        <w:rPr>
          <w:rFonts w:asciiTheme="minorHAnsi" w:hAnsiTheme="minorHAnsi" w:cs="Arial"/>
        </w:rPr>
      </w:pPr>
    </w:p>
    <w:p>
      <w:pPr>
        <w:spacing w:after="120" w:line="240" w:lineRule="auto"/>
        <w:jc w:val="both"/>
        <w:rPr>
          <w:rFonts w:asciiTheme="minorHAnsi" w:hAnsiTheme="minorHAnsi" w:cs="Arial"/>
          <w:b/>
          <w:u w:val="single"/>
        </w:rPr>
      </w:pPr>
      <w:r>
        <w:rPr>
          <w:rFonts w:asciiTheme="minorHAnsi" w:hAnsiTheme="minorHAnsi" w:cs="Arial"/>
          <w:b/>
          <w:u w:val="single"/>
        </w:rPr>
        <w:t xml:space="preserve">Zusammenfassung: </w:t>
      </w:r>
    </w:p>
    <w:p>
      <w:pPr>
        <w:spacing w:after="120" w:line="240" w:lineRule="auto"/>
        <w:jc w:val="both"/>
        <w:rPr>
          <w:rFonts w:asciiTheme="minorHAnsi" w:hAnsiTheme="minorHAnsi" w:cs="Arial"/>
          <w:bCs/>
        </w:rPr>
      </w:pPr>
      <w:r>
        <w:rPr>
          <w:rFonts w:asciiTheme="minorHAnsi" w:hAnsiTheme="minorHAnsi" w:cs="Arial"/>
          <w:bCs/>
        </w:rPr>
        <w:t>Mehr als vier von zehn der angezeigten Corona-Berufskrankheiten-Fälle werden nicht anerkannt. Zwei Drittel der angezeigten Corona-Berufskrankheiten-Fälle und sieben von zehn Anerkennungen entfielen auf die Berufsgenossenschaft für Gesundheit und Wohlfahrtspflege (BGW). Außer bei BGW, der Berufsgenossenschaft Handel und Warenlogistik (BGHW) und den Unfallkassen der Länder liegt die Anerkennungsquote niedriger als 15 Prozent.</w:t>
      </w:r>
    </w:p>
    <w:p>
      <w:pPr>
        <w:spacing w:after="120" w:line="240" w:lineRule="auto"/>
        <w:jc w:val="both"/>
        <w:rPr>
          <w:rFonts w:asciiTheme="minorHAnsi" w:hAnsiTheme="minorHAnsi" w:cs="Arial"/>
          <w:bCs/>
        </w:rPr>
      </w:pPr>
      <w:r>
        <w:rPr>
          <w:rFonts w:asciiTheme="minorHAnsi" w:hAnsiTheme="minorHAnsi" w:cs="Arial"/>
          <w:bCs/>
        </w:rPr>
        <w:t>Zwei von drei gemeldeten Corona-Arbeitsunfällen werden nicht anerkennt. Die meisten gemeldeten Corona-Arbeitsunfälle entfielen auf die Unfallkassen der Länder, die Berufsgenossenschaft Nahrungsmittel und Gastgewerbe und die Verwaltungsberufsgenossenschaft (VBG). Es wurden um mehr als ein Drittel weniger Corona-Arbeitsunfälle gemeldet als Corona-Berufskrankheiten angezeigt. Die Anerkennungsquote von Corona-Arbeitsunfällen ist niedriger als die von Corona-Berufskrankheiten.</w:t>
      </w:r>
    </w:p>
    <w:p>
      <w:pPr>
        <w:spacing w:after="120" w:line="240" w:lineRule="auto"/>
        <w:jc w:val="both"/>
        <w:rPr>
          <w:rFonts w:asciiTheme="minorHAnsi" w:hAnsiTheme="minorHAnsi" w:cs="Arial"/>
          <w:bCs/>
        </w:rPr>
      </w:pPr>
      <w:r>
        <w:rPr>
          <w:noProof/>
          <w:lang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208280</wp:posOffset>
            </wp:positionV>
            <wp:extent cx="4584700" cy="2755900"/>
            <wp:effectExtent l="0" t="0" r="6350" b="6350"/>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pPr>
        <w:spacing w:after="0" w:line="240" w:lineRule="auto"/>
        <w:jc w:val="center"/>
        <w:rPr>
          <w:rFonts w:asciiTheme="minorHAnsi" w:hAnsiTheme="minorHAnsi" w:cs="Arial"/>
          <w:bCs/>
        </w:rPr>
      </w:pPr>
      <w:r>
        <w:rPr>
          <w:rFonts w:asciiTheme="minorHAnsi" w:hAnsiTheme="minorHAnsi" w:cs="Arial"/>
          <w:bCs/>
        </w:rPr>
        <w:br w:type="textWrapping" w:clear="all"/>
      </w:r>
    </w:p>
    <w:p>
      <w:pPr>
        <w:spacing w:before="120" w:after="120" w:line="240" w:lineRule="auto"/>
        <w:jc w:val="both"/>
        <w:rPr>
          <w:rFonts w:asciiTheme="minorHAnsi" w:hAnsiTheme="minorHAnsi" w:cs="Arial"/>
          <w:bCs/>
        </w:rPr>
      </w:pPr>
      <w:r>
        <w:rPr>
          <w:rFonts w:asciiTheme="minorHAnsi" w:hAnsiTheme="minorHAnsi" w:cs="Arial"/>
          <w:bCs/>
        </w:rPr>
        <w:t xml:space="preserve">Die Bundesregierung erklärt, dass die Berufskrankheit (BK) Nr. 3101 "Infektionskrankheiten" Erkrankungen durch Covid-19 einschließt. Diese BK setze voraus, dass der Versicherte im Gesundheitsdienst, in der Wohlfahrtspflege oder in einem Laboratorium tätig oder durch eine andere Tätigkeit der Infektionsgefahr in ähnlichem Maße ausgesetzt sei. Der Ärztliche Sachverständigenbeirat Berufskrankheiten (ÄSVB) des Bundesministeriums für Arbeit und Soziales habe geprüft, ob </w:t>
      </w:r>
      <w:proofErr w:type="gramStart"/>
      <w:r>
        <w:rPr>
          <w:rFonts w:asciiTheme="minorHAnsi" w:hAnsiTheme="minorHAnsi" w:cs="Arial"/>
          <w:bCs/>
        </w:rPr>
        <w:t>nach aktuellem wissenschaftlichen Kenntnisstand</w:t>
      </w:r>
      <w:proofErr w:type="gramEnd"/>
      <w:r>
        <w:rPr>
          <w:rFonts w:asciiTheme="minorHAnsi" w:hAnsiTheme="minorHAnsi" w:cs="Arial"/>
          <w:bCs/>
        </w:rPr>
        <w:t xml:space="preserve"> weitere Tätigkeiten außerhalb der in der BK Nr. 3101 genannten ein vergleichbar hohes Infektionsrisiko aufwiesen. Zum jetzigen Zeitpunkt lasse sich keine anderen Tätigkeiten identifizieren, für die sich wissenschaftlich belastbar ein vergleichbar hohes Covid-19-Erkrankungsrisiko zeige. Gefragt wurde vor dem Hintergrund von Daten der Allgemeinen Ortskrankenkassen (AOK), wonach Beschäftigte in Erziehungsberufen durchschnittlich die höchste Anzahl an Arbeitsunfähigkeitstagen aufgrund einer Corona-Diagnose aufweisen</w:t>
      </w:r>
    </w:p>
    <w:p>
      <w:pPr>
        <w:spacing w:after="0" w:line="240" w:lineRule="auto"/>
        <w:jc w:val="both"/>
        <w:rPr>
          <w:rFonts w:asciiTheme="minorHAnsi" w:hAnsiTheme="minorHAnsi" w:cs="Arial"/>
          <w:bCs/>
        </w:rPr>
      </w:pPr>
      <w:r>
        <w:rPr>
          <w:rFonts w:asciiTheme="minorHAnsi" w:hAnsiTheme="minorHAnsi" w:cs="Arial"/>
          <w:bCs/>
        </w:rPr>
        <w:t xml:space="preserve">Befragt danach, was die Bundesregierung unternimmt, um Beschäftigte, die sich bei oder auf dem Weg zur Arbeit mit Corona infizieren, über ihr Recht auf Entschädigung durch die gesetzliche Unfallversicherung aufzuklären, verweist diese auf Internet-Seiten, auf denen sich Betroffen informieren können. Die Frage wurde gestellt vor dem Hintergrund der Aussagen des Deutschen </w:t>
      </w:r>
      <w:r>
        <w:rPr>
          <w:rFonts w:asciiTheme="minorHAnsi" w:hAnsiTheme="minorHAnsi" w:cs="Arial"/>
          <w:bCs/>
        </w:rPr>
        <w:lastRenderedPageBreak/>
        <w:t>Gewerkschaftsbunds (DGB) wonach es wichtig sei, Corona-Infektionen bei dem zuständigen Unfallversicherungsträger zu melden, da die gesetzliche Unfallversicherung die Kosten der anstehenden Heilbehandlung sowie der medizinischen, beruflichen und sozialen Rehabilitation übernehme, bei geminderter Erwerbsfähigkeit, beispielsweise durch schwere Verläufe oder Spätfolgen, ggf. auch eine Rente bezahle - im Todesfall auch für Hinterbliebene, sowie die Leistungen zur Rehabilitation bei der gesetzlichen Unfallversicherung umfangreicher als die der gesetzlichen Krankenversicherung, seien, insbesondere in Hinblick auf finanzielle Entschädigungsleistungen.</w:t>
      </w:r>
    </w:p>
    <w:p>
      <w:pPr>
        <w:spacing w:after="0" w:line="240" w:lineRule="auto"/>
        <w:jc w:val="both"/>
        <w:rPr>
          <w:rFonts w:asciiTheme="minorHAnsi" w:hAnsiTheme="minorHAnsi" w:cs="Arial"/>
          <w:bCs/>
        </w:rPr>
      </w:pPr>
    </w:p>
    <w:p>
      <w:pPr>
        <w:spacing w:after="0" w:line="240" w:lineRule="auto"/>
        <w:jc w:val="both"/>
        <w:rPr>
          <w:rFonts w:asciiTheme="minorHAnsi" w:hAnsiTheme="minorHAnsi" w:cs="Arial"/>
          <w:b/>
          <w:u w:val="single"/>
        </w:rPr>
      </w:pPr>
      <w:r>
        <w:rPr>
          <w:rFonts w:asciiTheme="minorHAnsi" w:hAnsiTheme="minorHAnsi" w:cs="Arial"/>
          <w:b/>
          <w:u w:val="single"/>
        </w:rPr>
        <w:t>O-Ton Jutta Krellmann, MdB, Sprecherin für Mitbestimmung und Arbeit für DIE LINKE im Bundestag:</w:t>
      </w:r>
    </w:p>
    <w:p>
      <w:pPr>
        <w:spacing w:after="0" w:line="240" w:lineRule="auto"/>
        <w:jc w:val="both"/>
        <w:rPr>
          <w:rFonts w:asciiTheme="minorHAnsi" w:hAnsiTheme="minorHAnsi" w:cs="Arial"/>
          <w:b/>
          <w:u w:val="single"/>
        </w:rPr>
      </w:pPr>
    </w:p>
    <w:p>
      <w:pPr>
        <w:spacing w:after="0" w:line="240" w:lineRule="auto"/>
        <w:jc w:val="both"/>
        <w:rPr>
          <w:rFonts w:asciiTheme="minorHAnsi" w:hAnsiTheme="minorHAnsi" w:cs="Arial"/>
          <w:i/>
        </w:rPr>
      </w:pPr>
      <w:r>
        <w:rPr>
          <w:rFonts w:asciiTheme="minorHAnsi" w:hAnsiTheme="minorHAnsi" w:cs="Arial"/>
          <w:i/>
        </w:rPr>
        <w:t xml:space="preserve">„Riskiert </w:t>
      </w:r>
      <w:proofErr w:type="gramStart"/>
      <w:r>
        <w:rPr>
          <w:rFonts w:asciiTheme="minorHAnsi" w:hAnsiTheme="minorHAnsi" w:cs="Arial"/>
          <w:i/>
        </w:rPr>
        <w:t>ein  Arbeitgeber</w:t>
      </w:r>
      <w:proofErr w:type="gramEnd"/>
      <w:r>
        <w:rPr>
          <w:rFonts w:asciiTheme="minorHAnsi" w:hAnsiTheme="minorHAnsi" w:cs="Arial"/>
          <w:i/>
        </w:rPr>
        <w:t xml:space="preserve"> die Gesundheit seiner Beschäftigten, muss er  für die Folgekosten aufkommen. Doch viele Beschäftigte, die an Corona erkranken werden abgeblockt, damit die Arbeitgeberbeiträge zur gesetzlichen Unfallversicherung niedrig bleiben. Denn diese zahlt der Arbeitgeber allein. Dadurch sparen sich Arbeitgeber unter anderem das Geld für Leistungen in Form von Therapien, Behandlungen und Hilfsmaßnahmen für die Wiedereingliederung in den Beruf. Gerade weil viele Corona-Erkrankte unter krassen Langzeitfolgen leiden, brauchen sie die beste Behandlung. Deshalb muss Corona für alle Berufsgruppen als Berufskrankheit anerkannt werden. Die Begrenzung auf nur einige wenige Berufsgruppen muss aufgehoben werden. </w:t>
      </w:r>
    </w:p>
    <w:p>
      <w:pPr>
        <w:spacing w:after="0" w:line="240" w:lineRule="auto"/>
        <w:jc w:val="both"/>
        <w:rPr>
          <w:rFonts w:asciiTheme="minorHAnsi" w:hAnsiTheme="minorHAnsi" w:cs="Arial"/>
          <w:i/>
        </w:rPr>
      </w:pPr>
    </w:p>
    <w:p>
      <w:pPr>
        <w:spacing w:after="0" w:line="240" w:lineRule="auto"/>
        <w:jc w:val="both"/>
        <w:rPr>
          <w:rFonts w:asciiTheme="minorHAnsi" w:hAnsiTheme="minorHAnsi" w:cs="Arial"/>
          <w:i/>
        </w:rPr>
      </w:pPr>
      <w:r>
        <w:rPr>
          <w:rFonts w:asciiTheme="minorHAnsi" w:hAnsiTheme="minorHAnsi" w:cs="Arial"/>
          <w:i/>
        </w:rPr>
        <w:t xml:space="preserve">Und es muss Schluss sein Kosten der Pandemie den gesetzlichen Krankenkassen und damit der Allgemeinheit aufzudrücken. Die Bundesregierung hat dafür zu sorgen, dass alle Betroffene ihre Rechte kennen. Deshalb brauchen wir unabhängige Beratungsstellen für Betroffene von Berufskrankheiten in allen Bundesländern, wie es sie in Hamburg, Bremen und Berlin schon gibt.“ </w:t>
      </w:r>
    </w:p>
    <w:p>
      <w:pPr>
        <w:spacing w:after="0" w:line="240" w:lineRule="auto"/>
        <w:jc w:val="both"/>
        <w:rPr>
          <w:rFonts w:asciiTheme="minorHAnsi" w:hAnsiTheme="minorHAnsi" w:cs="Arial"/>
          <w:i/>
        </w:rPr>
      </w:pPr>
    </w:p>
    <w:p>
      <w:pPr>
        <w:spacing w:after="0" w:line="240" w:lineRule="auto"/>
        <w:jc w:val="both"/>
        <w:rPr>
          <w:rFonts w:asciiTheme="minorHAnsi" w:hAnsiTheme="minorHAnsi" w:cs="Arial"/>
          <w:i/>
        </w:rPr>
      </w:pPr>
    </w:p>
    <w:p>
      <w:pPr>
        <w:spacing w:after="0" w:line="240" w:lineRule="auto"/>
        <w:jc w:val="both"/>
        <w:rPr>
          <w:rFonts w:asciiTheme="minorHAnsi" w:eastAsia="Arial" w:hAnsiTheme="minorHAnsi" w:cs="Arial"/>
          <w:b/>
          <w:bCs/>
          <w:color w:val="000000"/>
          <w:u w:val="single"/>
        </w:rPr>
      </w:pPr>
      <w:r>
        <w:rPr>
          <w:rFonts w:asciiTheme="minorHAnsi" w:eastAsia="Arial" w:hAnsiTheme="minorHAnsi" w:cs="Arial"/>
          <w:b/>
          <w:bCs/>
          <w:color w:val="000000"/>
          <w:u w:val="single"/>
        </w:rPr>
        <w:t>Ergebnisse im Einzelnen:</w:t>
      </w:r>
    </w:p>
    <w:p>
      <w:pPr>
        <w:pStyle w:val="Listenabsatz"/>
        <w:numPr>
          <w:ilvl w:val="0"/>
          <w:numId w:val="41"/>
        </w:numPr>
        <w:spacing w:after="0" w:line="240" w:lineRule="auto"/>
        <w:jc w:val="both"/>
        <w:rPr>
          <w:rFonts w:asciiTheme="minorHAnsi" w:hAnsiTheme="minorHAnsi" w:cs="Arial"/>
          <w:bCs/>
        </w:rPr>
      </w:pPr>
      <w:r>
        <w:rPr>
          <w:rFonts w:asciiTheme="minorHAnsi" w:hAnsiTheme="minorHAnsi" w:cs="Arial"/>
          <w:bCs/>
        </w:rPr>
        <w:t xml:space="preserve">Befragt danach, ob auch </w:t>
      </w:r>
      <w:r>
        <w:rPr>
          <w:rFonts w:asciiTheme="minorHAnsi" w:hAnsiTheme="minorHAnsi" w:cs="Arial"/>
          <w:b/>
          <w:bCs/>
        </w:rPr>
        <w:t>Corona-Erkrankungen auch für Beschäftigte anderer Berufszweige</w:t>
      </w:r>
      <w:r>
        <w:rPr>
          <w:rFonts w:asciiTheme="minorHAnsi" w:hAnsiTheme="minorHAnsi" w:cs="Arial"/>
          <w:bCs/>
        </w:rPr>
        <w:t xml:space="preserve">, als „im Gesundheitsdienst, in der Wohlfahrtspflege oder in einem Laboratorium" </w:t>
      </w:r>
      <w:r>
        <w:rPr>
          <w:rFonts w:asciiTheme="minorHAnsi" w:hAnsiTheme="minorHAnsi" w:cs="Arial"/>
          <w:b/>
          <w:bCs/>
        </w:rPr>
        <w:t>als Berufskrankheit</w:t>
      </w:r>
      <w:r>
        <w:rPr>
          <w:rFonts w:asciiTheme="minorHAnsi" w:hAnsiTheme="minorHAnsi" w:cs="Arial"/>
          <w:bCs/>
        </w:rPr>
        <w:t xml:space="preserve"> </w:t>
      </w:r>
      <w:r>
        <w:rPr>
          <w:rFonts w:asciiTheme="minorHAnsi" w:hAnsiTheme="minorHAnsi" w:cs="Arial"/>
          <w:b/>
          <w:bCs/>
        </w:rPr>
        <w:t>anerkannt</w:t>
      </w:r>
      <w:r>
        <w:rPr>
          <w:rFonts w:asciiTheme="minorHAnsi" w:hAnsiTheme="minorHAnsi" w:cs="Arial"/>
          <w:bCs/>
        </w:rPr>
        <w:t xml:space="preserve"> werden, antwortet die Bundesregierung (s. Frage 243): </w:t>
      </w:r>
    </w:p>
    <w:p>
      <w:pPr>
        <w:pStyle w:val="Listenabsatz"/>
        <w:numPr>
          <w:ilvl w:val="1"/>
          <w:numId w:val="41"/>
        </w:numPr>
        <w:spacing w:after="0" w:line="240" w:lineRule="auto"/>
        <w:jc w:val="both"/>
        <w:rPr>
          <w:rFonts w:asciiTheme="minorHAnsi" w:hAnsiTheme="minorHAnsi" w:cs="Arial"/>
          <w:bCs/>
        </w:rPr>
      </w:pPr>
      <w:r>
        <w:rPr>
          <w:rFonts w:asciiTheme="minorHAnsi" w:hAnsiTheme="minorHAnsi" w:cs="Arial"/>
          <w:bCs/>
        </w:rPr>
        <w:t>Die Berufskrankheit (BK) Nr. 3101 "Infektionskrankheiten" schließt auch eine Erkrankung durch Covid-19 ein. Diese BK setzt voraus, dass der Versicherte "im Gesundheitsdienst, in der Wohlfahrtspflege oder in einem Laboratorium tätig oder durch eine andere Tätigkeit der Infektionsgefahr in ähnlichem Maße besonders ausgesetzt war".</w:t>
      </w:r>
    </w:p>
    <w:p>
      <w:pPr>
        <w:pStyle w:val="Listenabsatz"/>
        <w:numPr>
          <w:ilvl w:val="1"/>
          <w:numId w:val="41"/>
        </w:numPr>
        <w:spacing w:after="0" w:line="240" w:lineRule="auto"/>
        <w:jc w:val="both"/>
        <w:rPr>
          <w:rFonts w:asciiTheme="minorHAnsi" w:hAnsiTheme="minorHAnsi" w:cs="Arial"/>
          <w:bCs/>
        </w:rPr>
      </w:pPr>
      <w:r>
        <w:rPr>
          <w:rFonts w:asciiTheme="minorHAnsi" w:hAnsiTheme="minorHAnsi" w:cs="Arial"/>
          <w:bCs/>
        </w:rPr>
        <w:t xml:space="preserve">Der Ärztliche Sachverständigenbeirat Berufskrankheiten (ÄSVB) des Bundesministeriums für Arbeit und Soziales hat geprüft, ob </w:t>
      </w:r>
      <w:proofErr w:type="gramStart"/>
      <w:r>
        <w:rPr>
          <w:rFonts w:asciiTheme="minorHAnsi" w:hAnsiTheme="minorHAnsi" w:cs="Arial"/>
          <w:bCs/>
        </w:rPr>
        <w:t>nach aktuellem wissenschaftlichen Kenntnisstand</w:t>
      </w:r>
      <w:proofErr w:type="gramEnd"/>
      <w:r>
        <w:rPr>
          <w:rFonts w:asciiTheme="minorHAnsi" w:hAnsiTheme="minorHAnsi" w:cs="Arial"/>
          <w:bCs/>
        </w:rPr>
        <w:t xml:space="preserve"> weitere Tätigkeiten oder Tätigkeitsbereiche außerhalb der bereits in der BK Nr. 3101 genannten ein vergleichbar hohes Infektionsrisiko aufweisen:</w:t>
      </w:r>
    </w:p>
    <w:p>
      <w:pPr>
        <w:pStyle w:val="Listenabsatz"/>
        <w:numPr>
          <w:ilvl w:val="2"/>
          <w:numId w:val="41"/>
        </w:numPr>
        <w:spacing w:after="0" w:line="240" w:lineRule="auto"/>
        <w:jc w:val="both"/>
        <w:rPr>
          <w:rFonts w:asciiTheme="minorHAnsi" w:hAnsiTheme="minorHAnsi" w:cs="Arial"/>
          <w:bCs/>
        </w:rPr>
      </w:pPr>
      <w:r>
        <w:rPr>
          <w:rFonts w:asciiTheme="minorHAnsi" w:hAnsiTheme="minorHAnsi" w:cs="Arial"/>
          <w:bCs/>
        </w:rPr>
        <w:t>Seiner Prüfung hat der ÄSVB die aktuelle epidemiologische Literatur sowie Routinedaten der gesetzlichen Krankenversicherung zur Häufigkeit von Covid-19-Erkrankungen zugrunde gelegt.</w:t>
      </w:r>
    </w:p>
    <w:p>
      <w:pPr>
        <w:pStyle w:val="Listenabsatz"/>
        <w:numPr>
          <w:ilvl w:val="2"/>
          <w:numId w:val="41"/>
        </w:numPr>
        <w:spacing w:after="0" w:line="240" w:lineRule="auto"/>
        <w:jc w:val="both"/>
        <w:rPr>
          <w:rFonts w:asciiTheme="minorHAnsi" w:hAnsiTheme="minorHAnsi" w:cs="Arial"/>
          <w:bCs/>
        </w:rPr>
      </w:pPr>
      <w:r>
        <w:rPr>
          <w:rFonts w:asciiTheme="minorHAnsi" w:hAnsiTheme="minorHAnsi" w:cs="Arial"/>
          <w:bCs/>
        </w:rPr>
        <w:t xml:space="preserve">Im Ergebnis haben die bisherigen Untersuchungen das deutlich erhöhte Covid-19-Erkrankungsrisiko bei Beschäftigten im Gesundheitswesen bestätigt; </w:t>
      </w:r>
    </w:p>
    <w:p>
      <w:pPr>
        <w:pStyle w:val="Listenabsatz"/>
        <w:numPr>
          <w:ilvl w:val="2"/>
          <w:numId w:val="41"/>
        </w:numPr>
        <w:spacing w:after="0" w:line="240" w:lineRule="auto"/>
        <w:jc w:val="both"/>
        <w:rPr>
          <w:rFonts w:asciiTheme="minorHAnsi" w:hAnsiTheme="minorHAnsi" w:cs="Arial"/>
          <w:bCs/>
        </w:rPr>
      </w:pPr>
      <w:r>
        <w:rPr>
          <w:rFonts w:asciiTheme="minorHAnsi" w:hAnsiTheme="minorHAnsi" w:cs="Arial"/>
          <w:bCs/>
        </w:rPr>
        <w:t>jedoch lassen sich zum jetzigen Zeitpunkt keine anderen Tätigkeiten identifizieren, für die sich konsistent und wissenschaftlich belastbar ein vergleichbar hohes Covid-19-Erkrankungsrisiko gezeigt hat.</w:t>
      </w:r>
    </w:p>
    <w:p>
      <w:pPr>
        <w:pStyle w:val="Listenabsatz"/>
        <w:numPr>
          <w:ilvl w:val="1"/>
          <w:numId w:val="41"/>
        </w:numPr>
        <w:spacing w:after="0" w:line="240" w:lineRule="auto"/>
        <w:jc w:val="both"/>
        <w:rPr>
          <w:rFonts w:asciiTheme="minorHAnsi" w:hAnsiTheme="minorHAnsi" w:cs="Arial"/>
          <w:bCs/>
        </w:rPr>
      </w:pPr>
      <w:r>
        <w:rPr>
          <w:rFonts w:asciiTheme="minorHAnsi" w:hAnsiTheme="minorHAnsi" w:cs="Arial"/>
          <w:bCs/>
        </w:rPr>
        <w:t>Gefragt wurde vor dem Hintergrund von Daten der Allgemeinen Ortskrankenkassen (AOK), wonach Beschäftigte in Erziehungsberufen durchschnittlich die höchste Anzahl an Arbeitsunfähigkeitstagen auf Grund einer Corona-Diagnose aufweisen (vgl. Analyse AOK: https://www.aok.de/fk/aktuelles/erzieher-besondersoft-wegen-covid-19-krankgeschrieben/).</w:t>
      </w:r>
    </w:p>
    <w:p>
      <w:pPr>
        <w:pStyle w:val="Listenabsatz"/>
        <w:numPr>
          <w:ilvl w:val="0"/>
          <w:numId w:val="41"/>
        </w:numPr>
        <w:spacing w:after="0" w:line="240" w:lineRule="auto"/>
        <w:jc w:val="both"/>
        <w:rPr>
          <w:rFonts w:asciiTheme="minorHAnsi" w:hAnsiTheme="minorHAnsi" w:cs="Arial"/>
          <w:bCs/>
        </w:rPr>
      </w:pPr>
      <w:r>
        <w:rPr>
          <w:rFonts w:asciiTheme="minorHAnsi" w:hAnsiTheme="minorHAnsi" w:cs="Arial"/>
          <w:bCs/>
        </w:rPr>
        <w:lastRenderedPageBreak/>
        <w:t xml:space="preserve">Befragt danach, was die Bundesregierung unternimmt, um </w:t>
      </w:r>
      <w:proofErr w:type="gramStart"/>
      <w:r>
        <w:rPr>
          <w:rFonts w:asciiTheme="minorHAnsi" w:hAnsiTheme="minorHAnsi" w:cs="Arial"/>
          <w:bCs/>
        </w:rPr>
        <w:t>Beschäftigte  die</w:t>
      </w:r>
      <w:proofErr w:type="gramEnd"/>
      <w:r>
        <w:rPr>
          <w:rFonts w:asciiTheme="minorHAnsi" w:hAnsiTheme="minorHAnsi" w:cs="Arial"/>
          <w:bCs/>
        </w:rPr>
        <w:t xml:space="preserve"> sich bei oder auf dem Weg zur Arbeit mit Corona infizieren, über ihr </w:t>
      </w:r>
      <w:r>
        <w:rPr>
          <w:rFonts w:asciiTheme="minorHAnsi" w:hAnsiTheme="minorHAnsi" w:cs="Arial"/>
          <w:b/>
          <w:bCs/>
        </w:rPr>
        <w:t>Recht auf Entschädigung durch die gesetzliche Unfallversicherung aufzuklären</w:t>
      </w:r>
      <w:r>
        <w:rPr>
          <w:rFonts w:asciiTheme="minorHAnsi" w:hAnsiTheme="minorHAnsi" w:cs="Arial"/>
          <w:bCs/>
        </w:rPr>
        <w:t>, verweist diese auf Internet-Seiten, auf denen sich Betroffen informieren können (s. Frage 244):</w:t>
      </w:r>
    </w:p>
    <w:p>
      <w:pPr>
        <w:pStyle w:val="Listenabsatz"/>
        <w:numPr>
          <w:ilvl w:val="1"/>
          <w:numId w:val="41"/>
        </w:numPr>
        <w:spacing w:after="0" w:line="240" w:lineRule="auto"/>
        <w:jc w:val="both"/>
        <w:rPr>
          <w:rFonts w:asciiTheme="minorHAnsi" w:hAnsiTheme="minorHAnsi" w:cs="Arial"/>
          <w:bCs/>
        </w:rPr>
      </w:pPr>
      <w:r>
        <w:rPr>
          <w:rFonts w:asciiTheme="minorHAnsi" w:hAnsiTheme="minorHAnsi" w:cs="Arial"/>
          <w:bCs/>
        </w:rPr>
        <w:t xml:space="preserve">Der Spitzenverband der gewerblichen Unfallversicherungsträger und der Unfallversicherungsträger der öffentlichen Hand, die Deutsche Gesetzliche Unfallversicherung (DGUV), informiert auf ihrer Homepage ausführlich über alle mit dem Thema Covid-19 zusammenhängenden Fragen mit allgemeinen Ausführungen und einer umfangreichen FAQ Sammlung, die sich an Betriebe und Beschäftigte richten. Hier wird ausdrücklich auch auf die Möglichkeit einer Anerkennung als Wegeunfall hingewiesen (https://www.dguv.de/de/mediencenter/hintergrund/corona_arbeitsunfall/index.jsp). </w:t>
      </w:r>
    </w:p>
    <w:p>
      <w:pPr>
        <w:pStyle w:val="Listenabsatz"/>
        <w:numPr>
          <w:ilvl w:val="1"/>
          <w:numId w:val="41"/>
        </w:numPr>
        <w:spacing w:after="0" w:line="240" w:lineRule="auto"/>
        <w:jc w:val="both"/>
        <w:rPr>
          <w:rFonts w:asciiTheme="minorHAnsi" w:hAnsiTheme="minorHAnsi" w:cs="Arial"/>
          <w:bCs/>
        </w:rPr>
      </w:pPr>
      <w:r>
        <w:rPr>
          <w:rFonts w:asciiTheme="minorHAnsi" w:hAnsiTheme="minorHAnsi" w:cs="Arial"/>
          <w:bCs/>
        </w:rPr>
        <w:t xml:space="preserve">Darüber hinaus werden auf die Sonderseiten und Informationen der einzelnen Berufsgenossenschaften, Unfallkassen und der Sozialversicherung für Landwirtschaft, Forsten und Gartenbau (SVLFG) verlinkt (https://www.dguv.de/de/praevention/corona/sonderseiten-corona/index.jsp). </w:t>
      </w:r>
    </w:p>
    <w:p>
      <w:pPr>
        <w:pStyle w:val="Listenabsatz"/>
        <w:numPr>
          <w:ilvl w:val="1"/>
          <w:numId w:val="41"/>
        </w:numPr>
        <w:spacing w:after="0" w:line="240" w:lineRule="auto"/>
        <w:jc w:val="both"/>
        <w:rPr>
          <w:rFonts w:asciiTheme="minorHAnsi" w:hAnsiTheme="minorHAnsi" w:cs="Arial"/>
          <w:bCs/>
        </w:rPr>
      </w:pPr>
      <w:r>
        <w:rPr>
          <w:rFonts w:asciiTheme="minorHAnsi" w:hAnsiTheme="minorHAnsi" w:cs="Arial"/>
          <w:bCs/>
        </w:rPr>
        <w:t>Die Frage wurde gestellt vor dem Hintergrund der Aussagen des Deutschen Gewerkschaftsbunds - DGB (vgl. https://www.dgb.de/themen/++co++4a38ec78-3df7-11eb-8d02-001a4a160123), wonach es wichtig sei, Corona-Infektionen bei dem zuständigen Unfallversicherungsträger zu melden, da die gesetzliche Unfallversicherung die Kosten der anstehenden Heilbehandlung sowie der medizinischen, beruflichen und sozialen Rehabilitation übernehme, bei geminderter Erwerbsfähigkeit, beispielsweise durch schwere Verläufe oder Spätfolgen, ggf. auch eine Rente bezahle - im Todesfall auch für Hinterbliebene, sowie die Leistungen zur Rehabilitation bei der gesetzlichen Unfallversicherung umfangreicher als die der gesetzlichen Krankenversicherung, seien, insbesondere in Hinblick auf finanzielle Entschädigungsleistungen.</w:t>
      </w:r>
    </w:p>
    <w:p>
      <w:pPr>
        <w:pStyle w:val="Listenabsatz"/>
        <w:numPr>
          <w:ilvl w:val="0"/>
          <w:numId w:val="41"/>
        </w:numPr>
        <w:spacing w:after="0" w:line="240" w:lineRule="auto"/>
        <w:jc w:val="both"/>
        <w:rPr>
          <w:rFonts w:asciiTheme="minorHAnsi" w:hAnsiTheme="minorHAnsi" w:cs="Arial"/>
          <w:bCs/>
        </w:rPr>
      </w:pPr>
      <w:r>
        <w:rPr>
          <w:rFonts w:asciiTheme="minorHAnsi" w:hAnsiTheme="minorHAnsi" w:cs="Arial"/>
          <w:b/>
          <w:bCs/>
        </w:rPr>
        <w:t>Berufskrankheiten Covid-19</w:t>
      </w:r>
      <w:r>
        <w:rPr>
          <w:rFonts w:asciiTheme="minorHAnsi" w:hAnsiTheme="minorHAnsi" w:cs="Arial"/>
          <w:bCs/>
        </w:rPr>
        <w:t>, Zahl der BK Verdachtsanzeigen, der Anerkennungen und der Anerkennungsquote zum Stichtag bis 31. Januar 2021 (s. Fragen 245 u. 246):</w:t>
      </w:r>
    </w:p>
    <w:p>
      <w:pPr>
        <w:pStyle w:val="Listenabsatz"/>
        <w:spacing w:after="0" w:line="240" w:lineRule="auto"/>
        <w:jc w:val="both"/>
        <w:rPr>
          <w:rFonts w:asciiTheme="minorHAnsi" w:hAnsiTheme="minorHAnsi" w:cs="Arial"/>
          <w:bCs/>
        </w:rPr>
      </w:pPr>
    </w:p>
    <w:tbl>
      <w:tblPr>
        <w:tblStyle w:val="Tabellenraster"/>
        <w:tblW w:w="0" w:type="auto"/>
        <w:tblInd w:w="1440" w:type="dxa"/>
        <w:tblLook w:val="04A0" w:firstRow="1" w:lastRow="0" w:firstColumn="1" w:lastColumn="0" w:noHBand="0" w:noVBand="1"/>
      </w:tblPr>
      <w:tblGrid>
        <w:gridCol w:w="2530"/>
        <w:gridCol w:w="1256"/>
        <w:gridCol w:w="1758"/>
        <w:gridCol w:w="2078"/>
      </w:tblGrid>
      <w:tr>
        <w:tc>
          <w:tcPr>
            <w:tcW w:w="2265" w:type="dxa"/>
          </w:tcPr>
          <w:p>
            <w:pPr>
              <w:pStyle w:val="Listenabsatz"/>
              <w:spacing w:after="0" w:line="240" w:lineRule="auto"/>
              <w:ind w:left="0"/>
              <w:jc w:val="both"/>
              <w:rPr>
                <w:rFonts w:cs="Arial"/>
                <w:bCs/>
              </w:rPr>
            </w:pPr>
            <w:r>
              <w:rPr>
                <w:rFonts w:cs="Arial"/>
                <w:bCs/>
              </w:rPr>
              <w:t>Unfallversicherungsträger</w:t>
            </w:r>
          </w:p>
        </w:tc>
        <w:tc>
          <w:tcPr>
            <w:tcW w:w="2265" w:type="dxa"/>
          </w:tcPr>
          <w:p>
            <w:pPr>
              <w:pStyle w:val="Listenabsatz"/>
              <w:spacing w:after="0" w:line="240" w:lineRule="auto"/>
              <w:ind w:left="0"/>
              <w:jc w:val="both"/>
              <w:rPr>
                <w:rFonts w:cs="Arial"/>
                <w:bCs/>
              </w:rPr>
            </w:pPr>
            <w:r>
              <w:rPr>
                <w:rFonts w:cs="Arial"/>
                <w:bCs/>
              </w:rPr>
              <w:t>Anzeigen</w:t>
            </w:r>
          </w:p>
        </w:tc>
        <w:tc>
          <w:tcPr>
            <w:tcW w:w="2266" w:type="dxa"/>
          </w:tcPr>
          <w:p>
            <w:pPr>
              <w:pStyle w:val="Listenabsatz"/>
              <w:spacing w:after="0" w:line="240" w:lineRule="auto"/>
              <w:ind w:left="0"/>
              <w:jc w:val="both"/>
              <w:rPr>
                <w:rFonts w:cs="Arial"/>
                <w:bCs/>
              </w:rPr>
            </w:pPr>
            <w:r>
              <w:rPr>
                <w:rFonts w:cs="Arial"/>
                <w:bCs/>
              </w:rPr>
              <w:t>Anerkennungen</w:t>
            </w:r>
          </w:p>
        </w:tc>
        <w:tc>
          <w:tcPr>
            <w:tcW w:w="2266" w:type="dxa"/>
          </w:tcPr>
          <w:p>
            <w:pPr>
              <w:pStyle w:val="Listenabsatz"/>
              <w:spacing w:after="0" w:line="240" w:lineRule="auto"/>
              <w:ind w:left="0"/>
              <w:jc w:val="both"/>
              <w:rPr>
                <w:rFonts w:cs="Arial"/>
                <w:bCs/>
              </w:rPr>
            </w:pPr>
            <w:r>
              <w:rPr>
                <w:rFonts w:cstheme="minorHAnsi"/>
                <w:bCs/>
              </w:rPr>
              <w:t>Anerkennungsquote</w:t>
            </w:r>
          </w:p>
        </w:tc>
      </w:tr>
      <w:tr>
        <w:tc>
          <w:tcPr>
            <w:tcW w:w="2265" w:type="dxa"/>
          </w:tcPr>
          <w:p>
            <w:pPr>
              <w:pStyle w:val="Listenabsatz"/>
              <w:spacing w:after="0" w:line="240" w:lineRule="auto"/>
              <w:ind w:left="0"/>
              <w:jc w:val="both"/>
              <w:rPr>
                <w:rFonts w:cs="Arial"/>
                <w:bCs/>
              </w:rPr>
            </w:pPr>
            <w:r>
              <w:rPr>
                <w:rFonts w:cs="Arial"/>
                <w:bCs/>
              </w:rPr>
              <w:t>BG RCI</w:t>
            </w:r>
          </w:p>
        </w:tc>
        <w:tc>
          <w:tcPr>
            <w:tcW w:w="2265" w:type="dxa"/>
          </w:tcPr>
          <w:p>
            <w:pPr>
              <w:pStyle w:val="Listenabsatz"/>
              <w:spacing w:after="0" w:line="240" w:lineRule="auto"/>
              <w:ind w:left="0"/>
              <w:jc w:val="right"/>
              <w:rPr>
                <w:rFonts w:cs="Arial"/>
                <w:bCs/>
              </w:rPr>
            </w:pPr>
            <w:r>
              <w:rPr>
                <w:rFonts w:cs="Arial"/>
                <w:bCs/>
              </w:rPr>
              <w:t>11</w:t>
            </w:r>
          </w:p>
        </w:tc>
        <w:tc>
          <w:tcPr>
            <w:tcW w:w="2266" w:type="dxa"/>
          </w:tcPr>
          <w:p>
            <w:pPr>
              <w:pStyle w:val="Listenabsatz"/>
              <w:spacing w:after="0" w:line="240" w:lineRule="auto"/>
              <w:ind w:left="0"/>
              <w:jc w:val="right"/>
              <w:rPr>
                <w:rFonts w:cs="Arial"/>
                <w:bCs/>
              </w:rPr>
            </w:pPr>
            <w:r>
              <w:rPr>
                <w:rFonts w:cs="Arial"/>
                <w:bCs/>
              </w:rPr>
              <w:t>0</w:t>
            </w:r>
          </w:p>
        </w:tc>
        <w:tc>
          <w:tcPr>
            <w:tcW w:w="2266" w:type="dxa"/>
          </w:tcPr>
          <w:p>
            <w:pPr>
              <w:pStyle w:val="Listenabsatz"/>
              <w:spacing w:after="0" w:line="240" w:lineRule="auto"/>
              <w:ind w:left="0"/>
              <w:jc w:val="right"/>
              <w:rPr>
                <w:rFonts w:cs="Arial"/>
                <w:bCs/>
              </w:rPr>
            </w:pPr>
            <w:r>
              <w:rPr>
                <w:rFonts w:cs="Arial"/>
                <w:bCs/>
              </w:rPr>
              <w:t xml:space="preserve">0 </w:t>
            </w:r>
          </w:p>
        </w:tc>
      </w:tr>
      <w:tr>
        <w:tc>
          <w:tcPr>
            <w:tcW w:w="2265" w:type="dxa"/>
          </w:tcPr>
          <w:p>
            <w:pPr>
              <w:pStyle w:val="Listenabsatz"/>
              <w:spacing w:after="0" w:line="240" w:lineRule="auto"/>
              <w:ind w:left="0"/>
              <w:jc w:val="both"/>
              <w:rPr>
                <w:rFonts w:cs="Arial"/>
                <w:bCs/>
              </w:rPr>
            </w:pPr>
            <w:r>
              <w:rPr>
                <w:rFonts w:cs="Arial"/>
                <w:bCs/>
              </w:rPr>
              <w:t>BGHM</w:t>
            </w:r>
          </w:p>
        </w:tc>
        <w:tc>
          <w:tcPr>
            <w:tcW w:w="2265" w:type="dxa"/>
          </w:tcPr>
          <w:p>
            <w:pPr>
              <w:pStyle w:val="Listenabsatz"/>
              <w:spacing w:after="0" w:line="240" w:lineRule="auto"/>
              <w:ind w:left="0"/>
              <w:jc w:val="right"/>
              <w:rPr>
                <w:rFonts w:cs="Arial"/>
                <w:bCs/>
              </w:rPr>
            </w:pPr>
            <w:r>
              <w:rPr>
                <w:rFonts w:cs="Arial"/>
                <w:bCs/>
              </w:rPr>
              <w:t>6</w:t>
            </w:r>
          </w:p>
        </w:tc>
        <w:tc>
          <w:tcPr>
            <w:tcW w:w="2266" w:type="dxa"/>
          </w:tcPr>
          <w:p>
            <w:pPr>
              <w:pStyle w:val="Listenabsatz"/>
              <w:spacing w:after="0" w:line="240" w:lineRule="auto"/>
              <w:ind w:left="0"/>
              <w:jc w:val="right"/>
              <w:rPr>
                <w:rFonts w:cs="Arial"/>
                <w:bCs/>
              </w:rPr>
            </w:pPr>
            <w:r>
              <w:rPr>
                <w:rFonts w:cs="Arial"/>
                <w:bCs/>
              </w:rPr>
              <w:t>0</w:t>
            </w:r>
          </w:p>
        </w:tc>
        <w:tc>
          <w:tcPr>
            <w:tcW w:w="2266" w:type="dxa"/>
          </w:tcPr>
          <w:p>
            <w:pPr>
              <w:pStyle w:val="Listenabsatz"/>
              <w:spacing w:after="0" w:line="240" w:lineRule="auto"/>
              <w:ind w:left="0"/>
              <w:jc w:val="right"/>
              <w:rPr>
                <w:rFonts w:cs="Arial"/>
                <w:bCs/>
              </w:rPr>
            </w:pPr>
            <w:r>
              <w:rPr>
                <w:rFonts w:cs="Arial"/>
                <w:bCs/>
              </w:rPr>
              <w:t>0</w:t>
            </w:r>
          </w:p>
        </w:tc>
      </w:tr>
      <w:tr>
        <w:tc>
          <w:tcPr>
            <w:tcW w:w="2265" w:type="dxa"/>
          </w:tcPr>
          <w:p>
            <w:pPr>
              <w:pStyle w:val="Listenabsatz"/>
              <w:spacing w:after="0" w:line="240" w:lineRule="auto"/>
              <w:ind w:left="0"/>
              <w:jc w:val="both"/>
              <w:rPr>
                <w:rFonts w:cs="Arial"/>
                <w:bCs/>
              </w:rPr>
            </w:pPr>
            <w:r>
              <w:rPr>
                <w:rFonts w:cs="Arial"/>
                <w:bCs/>
              </w:rPr>
              <w:t>BG ETEM</w:t>
            </w:r>
          </w:p>
        </w:tc>
        <w:tc>
          <w:tcPr>
            <w:tcW w:w="2265" w:type="dxa"/>
          </w:tcPr>
          <w:p>
            <w:pPr>
              <w:pStyle w:val="Listenabsatz"/>
              <w:spacing w:after="0" w:line="240" w:lineRule="auto"/>
              <w:ind w:left="0"/>
              <w:jc w:val="right"/>
              <w:rPr>
                <w:rFonts w:cs="Arial"/>
                <w:bCs/>
              </w:rPr>
            </w:pPr>
            <w:r>
              <w:rPr>
                <w:rFonts w:cs="Arial"/>
                <w:bCs/>
              </w:rPr>
              <w:t>8</w:t>
            </w:r>
          </w:p>
        </w:tc>
        <w:tc>
          <w:tcPr>
            <w:tcW w:w="2266" w:type="dxa"/>
          </w:tcPr>
          <w:p>
            <w:pPr>
              <w:pStyle w:val="Listenabsatz"/>
              <w:spacing w:after="0" w:line="240" w:lineRule="auto"/>
              <w:ind w:left="0"/>
              <w:jc w:val="right"/>
              <w:rPr>
                <w:rFonts w:cs="Arial"/>
                <w:bCs/>
              </w:rPr>
            </w:pPr>
            <w:r>
              <w:rPr>
                <w:rFonts w:cs="Arial"/>
                <w:bCs/>
              </w:rPr>
              <w:t>0</w:t>
            </w:r>
          </w:p>
        </w:tc>
        <w:tc>
          <w:tcPr>
            <w:tcW w:w="2266" w:type="dxa"/>
          </w:tcPr>
          <w:p>
            <w:pPr>
              <w:pStyle w:val="Listenabsatz"/>
              <w:spacing w:after="0" w:line="240" w:lineRule="auto"/>
              <w:ind w:left="0"/>
              <w:jc w:val="right"/>
              <w:rPr>
                <w:rFonts w:cs="Arial"/>
                <w:bCs/>
              </w:rPr>
            </w:pPr>
            <w:r>
              <w:rPr>
                <w:rFonts w:cs="Arial"/>
                <w:bCs/>
              </w:rPr>
              <w:t>0</w:t>
            </w:r>
          </w:p>
        </w:tc>
      </w:tr>
      <w:tr>
        <w:tc>
          <w:tcPr>
            <w:tcW w:w="2265" w:type="dxa"/>
          </w:tcPr>
          <w:p>
            <w:pPr>
              <w:pStyle w:val="Listenabsatz"/>
              <w:spacing w:after="0" w:line="240" w:lineRule="auto"/>
              <w:ind w:left="0"/>
              <w:jc w:val="both"/>
              <w:rPr>
                <w:rFonts w:cs="Arial"/>
                <w:bCs/>
              </w:rPr>
            </w:pPr>
            <w:r>
              <w:rPr>
                <w:rFonts w:cs="Arial"/>
                <w:bCs/>
              </w:rPr>
              <w:t>BG BAU</w:t>
            </w:r>
          </w:p>
        </w:tc>
        <w:tc>
          <w:tcPr>
            <w:tcW w:w="2265" w:type="dxa"/>
          </w:tcPr>
          <w:p>
            <w:pPr>
              <w:pStyle w:val="Listenabsatz"/>
              <w:spacing w:after="0" w:line="240" w:lineRule="auto"/>
              <w:ind w:left="0"/>
              <w:jc w:val="right"/>
              <w:rPr>
                <w:rFonts w:cs="Arial"/>
                <w:bCs/>
              </w:rPr>
            </w:pPr>
            <w:r>
              <w:rPr>
                <w:rFonts w:cs="Arial"/>
                <w:bCs/>
              </w:rPr>
              <w:t>291</w:t>
            </w:r>
          </w:p>
        </w:tc>
        <w:tc>
          <w:tcPr>
            <w:tcW w:w="2266" w:type="dxa"/>
          </w:tcPr>
          <w:p>
            <w:pPr>
              <w:pStyle w:val="Listenabsatz"/>
              <w:spacing w:after="0" w:line="240" w:lineRule="auto"/>
              <w:ind w:left="0"/>
              <w:jc w:val="right"/>
              <w:rPr>
                <w:rFonts w:cs="Arial"/>
                <w:bCs/>
              </w:rPr>
            </w:pPr>
            <w:r>
              <w:rPr>
                <w:rFonts w:cs="Arial"/>
                <w:bCs/>
              </w:rPr>
              <w:t>10</w:t>
            </w:r>
          </w:p>
        </w:tc>
        <w:tc>
          <w:tcPr>
            <w:tcW w:w="2266" w:type="dxa"/>
          </w:tcPr>
          <w:p>
            <w:pPr>
              <w:pStyle w:val="Listenabsatz"/>
              <w:spacing w:after="0" w:line="240" w:lineRule="auto"/>
              <w:ind w:left="0"/>
              <w:jc w:val="right"/>
              <w:rPr>
                <w:rFonts w:cs="Arial"/>
                <w:bCs/>
              </w:rPr>
            </w:pPr>
            <w:r>
              <w:rPr>
                <w:rFonts w:cs="Arial"/>
                <w:bCs/>
              </w:rPr>
              <w:t>3,44 %</w:t>
            </w:r>
          </w:p>
        </w:tc>
      </w:tr>
      <w:tr>
        <w:tc>
          <w:tcPr>
            <w:tcW w:w="2265" w:type="dxa"/>
          </w:tcPr>
          <w:p>
            <w:pPr>
              <w:pStyle w:val="Listenabsatz"/>
              <w:spacing w:after="0" w:line="240" w:lineRule="auto"/>
              <w:ind w:left="0"/>
              <w:jc w:val="both"/>
              <w:rPr>
                <w:rFonts w:cs="Arial"/>
                <w:bCs/>
              </w:rPr>
            </w:pPr>
            <w:r>
              <w:rPr>
                <w:rFonts w:cs="Arial"/>
                <w:bCs/>
              </w:rPr>
              <w:t>BGN</w:t>
            </w:r>
          </w:p>
        </w:tc>
        <w:tc>
          <w:tcPr>
            <w:tcW w:w="2265" w:type="dxa"/>
          </w:tcPr>
          <w:p>
            <w:pPr>
              <w:pStyle w:val="Listenabsatz"/>
              <w:spacing w:after="0" w:line="240" w:lineRule="auto"/>
              <w:ind w:left="0"/>
              <w:jc w:val="right"/>
              <w:rPr>
                <w:rFonts w:cs="Arial"/>
                <w:bCs/>
              </w:rPr>
            </w:pPr>
            <w:r>
              <w:rPr>
                <w:rFonts w:cs="Arial"/>
                <w:bCs/>
              </w:rPr>
              <w:t>41</w:t>
            </w:r>
          </w:p>
        </w:tc>
        <w:tc>
          <w:tcPr>
            <w:tcW w:w="2266" w:type="dxa"/>
          </w:tcPr>
          <w:p>
            <w:pPr>
              <w:pStyle w:val="Listenabsatz"/>
              <w:spacing w:after="0" w:line="240" w:lineRule="auto"/>
              <w:ind w:left="0"/>
              <w:jc w:val="right"/>
              <w:rPr>
                <w:rFonts w:cs="Arial"/>
                <w:bCs/>
              </w:rPr>
            </w:pPr>
            <w:r>
              <w:rPr>
                <w:rFonts w:cs="Arial"/>
                <w:bCs/>
              </w:rPr>
              <w:t>1</w:t>
            </w:r>
          </w:p>
        </w:tc>
        <w:tc>
          <w:tcPr>
            <w:tcW w:w="2266" w:type="dxa"/>
          </w:tcPr>
          <w:p>
            <w:pPr>
              <w:pStyle w:val="Listenabsatz"/>
              <w:spacing w:after="0" w:line="240" w:lineRule="auto"/>
              <w:ind w:left="0"/>
              <w:jc w:val="right"/>
              <w:rPr>
                <w:rFonts w:cs="Arial"/>
                <w:bCs/>
              </w:rPr>
            </w:pPr>
            <w:r>
              <w:rPr>
                <w:rFonts w:cs="Arial"/>
                <w:bCs/>
              </w:rPr>
              <w:t>2,44 %</w:t>
            </w:r>
          </w:p>
        </w:tc>
      </w:tr>
      <w:tr>
        <w:tc>
          <w:tcPr>
            <w:tcW w:w="2265" w:type="dxa"/>
          </w:tcPr>
          <w:p>
            <w:pPr>
              <w:pStyle w:val="Listenabsatz"/>
              <w:spacing w:after="0" w:line="240" w:lineRule="auto"/>
              <w:ind w:left="0"/>
              <w:jc w:val="both"/>
              <w:rPr>
                <w:rFonts w:cs="Arial"/>
                <w:bCs/>
              </w:rPr>
            </w:pPr>
            <w:r>
              <w:rPr>
                <w:rFonts w:cs="Arial"/>
                <w:bCs/>
              </w:rPr>
              <w:t>BGHW</w:t>
            </w:r>
          </w:p>
        </w:tc>
        <w:tc>
          <w:tcPr>
            <w:tcW w:w="2265" w:type="dxa"/>
          </w:tcPr>
          <w:p>
            <w:pPr>
              <w:pStyle w:val="Listenabsatz"/>
              <w:spacing w:after="0" w:line="240" w:lineRule="auto"/>
              <w:ind w:left="0"/>
              <w:jc w:val="right"/>
              <w:rPr>
                <w:rFonts w:cs="Arial"/>
                <w:bCs/>
              </w:rPr>
            </w:pPr>
            <w:r>
              <w:rPr>
                <w:rFonts w:cs="Arial"/>
                <w:bCs/>
              </w:rPr>
              <w:t>2</w:t>
            </w:r>
          </w:p>
        </w:tc>
        <w:tc>
          <w:tcPr>
            <w:tcW w:w="2266" w:type="dxa"/>
          </w:tcPr>
          <w:p>
            <w:pPr>
              <w:pStyle w:val="Listenabsatz"/>
              <w:spacing w:after="0" w:line="240" w:lineRule="auto"/>
              <w:ind w:left="0"/>
              <w:jc w:val="right"/>
              <w:rPr>
                <w:rFonts w:cs="Arial"/>
                <w:bCs/>
              </w:rPr>
            </w:pPr>
            <w:r>
              <w:rPr>
                <w:rFonts w:cs="Arial"/>
                <w:bCs/>
              </w:rPr>
              <w:t>1</w:t>
            </w:r>
          </w:p>
        </w:tc>
        <w:tc>
          <w:tcPr>
            <w:tcW w:w="2266" w:type="dxa"/>
          </w:tcPr>
          <w:p>
            <w:pPr>
              <w:pStyle w:val="Listenabsatz"/>
              <w:spacing w:after="0" w:line="240" w:lineRule="auto"/>
              <w:ind w:left="0"/>
              <w:jc w:val="right"/>
              <w:rPr>
                <w:rFonts w:cs="Arial"/>
                <w:bCs/>
              </w:rPr>
            </w:pPr>
            <w:r>
              <w:rPr>
                <w:rFonts w:cs="Arial"/>
                <w:bCs/>
              </w:rPr>
              <w:t>50 %</w:t>
            </w:r>
          </w:p>
        </w:tc>
      </w:tr>
      <w:tr>
        <w:tc>
          <w:tcPr>
            <w:tcW w:w="2265" w:type="dxa"/>
          </w:tcPr>
          <w:p>
            <w:pPr>
              <w:pStyle w:val="Listenabsatz"/>
              <w:spacing w:after="0" w:line="240" w:lineRule="auto"/>
              <w:ind w:left="0"/>
              <w:jc w:val="both"/>
              <w:rPr>
                <w:rFonts w:cs="Arial"/>
                <w:bCs/>
              </w:rPr>
            </w:pPr>
            <w:r>
              <w:rPr>
                <w:rFonts w:cs="Arial"/>
                <w:bCs/>
              </w:rPr>
              <w:t>BG Verkehr</w:t>
            </w:r>
          </w:p>
        </w:tc>
        <w:tc>
          <w:tcPr>
            <w:tcW w:w="2265" w:type="dxa"/>
          </w:tcPr>
          <w:p>
            <w:pPr>
              <w:pStyle w:val="Listenabsatz"/>
              <w:spacing w:after="0" w:line="240" w:lineRule="auto"/>
              <w:ind w:left="0"/>
              <w:jc w:val="right"/>
              <w:rPr>
                <w:rFonts w:cs="Arial"/>
                <w:bCs/>
              </w:rPr>
            </w:pPr>
            <w:r>
              <w:rPr>
                <w:rFonts w:cs="Arial"/>
                <w:bCs/>
              </w:rPr>
              <w:t>20</w:t>
            </w:r>
          </w:p>
        </w:tc>
        <w:tc>
          <w:tcPr>
            <w:tcW w:w="2266" w:type="dxa"/>
          </w:tcPr>
          <w:p>
            <w:pPr>
              <w:pStyle w:val="Listenabsatz"/>
              <w:spacing w:after="0" w:line="240" w:lineRule="auto"/>
              <w:ind w:left="0"/>
              <w:jc w:val="right"/>
              <w:rPr>
                <w:rFonts w:cs="Arial"/>
                <w:bCs/>
              </w:rPr>
            </w:pPr>
            <w:r>
              <w:rPr>
                <w:rFonts w:cs="Arial"/>
                <w:bCs/>
              </w:rPr>
              <w:t>0</w:t>
            </w:r>
          </w:p>
        </w:tc>
        <w:tc>
          <w:tcPr>
            <w:tcW w:w="2266" w:type="dxa"/>
          </w:tcPr>
          <w:p>
            <w:pPr>
              <w:pStyle w:val="Listenabsatz"/>
              <w:spacing w:after="0" w:line="240" w:lineRule="auto"/>
              <w:ind w:left="0"/>
              <w:jc w:val="right"/>
              <w:rPr>
                <w:rFonts w:cs="Arial"/>
                <w:bCs/>
              </w:rPr>
            </w:pPr>
            <w:r>
              <w:rPr>
                <w:rFonts w:cs="Arial"/>
                <w:bCs/>
              </w:rPr>
              <w:t>0 %</w:t>
            </w:r>
          </w:p>
        </w:tc>
      </w:tr>
      <w:tr>
        <w:tc>
          <w:tcPr>
            <w:tcW w:w="2265" w:type="dxa"/>
          </w:tcPr>
          <w:p>
            <w:pPr>
              <w:pStyle w:val="Listenabsatz"/>
              <w:spacing w:after="0" w:line="240" w:lineRule="auto"/>
              <w:ind w:left="0"/>
              <w:jc w:val="both"/>
              <w:rPr>
                <w:rFonts w:cs="Arial"/>
                <w:bCs/>
              </w:rPr>
            </w:pPr>
            <w:r>
              <w:rPr>
                <w:rFonts w:cs="Arial"/>
                <w:bCs/>
              </w:rPr>
              <w:t>VBG</w:t>
            </w:r>
          </w:p>
        </w:tc>
        <w:tc>
          <w:tcPr>
            <w:tcW w:w="2265" w:type="dxa"/>
          </w:tcPr>
          <w:p>
            <w:pPr>
              <w:pStyle w:val="Listenabsatz"/>
              <w:spacing w:after="0" w:line="240" w:lineRule="auto"/>
              <w:ind w:left="0"/>
              <w:jc w:val="right"/>
              <w:rPr>
                <w:rFonts w:cs="Arial"/>
                <w:bCs/>
              </w:rPr>
            </w:pPr>
            <w:r>
              <w:rPr>
                <w:rFonts w:cs="Arial"/>
                <w:bCs/>
              </w:rPr>
              <w:t>334</w:t>
            </w:r>
          </w:p>
        </w:tc>
        <w:tc>
          <w:tcPr>
            <w:tcW w:w="2266" w:type="dxa"/>
          </w:tcPr>
          <w:p>
            <w:pPr>
              <w:pStyle w:val="Listenabsatz"/>
              <w:spacing w:after="0" w:line="240" w:lineRule="auto"/>
              <w:ind w:left="0"/>
              <w:jc w:val="right"/>
              <w:rPr>
                <w:rFonts w:cs="Arial"/>
                <w:bCs/>
              </w:rPr>
            </w:pPr>
            <w:r>
              <w:rPr>
                <w:rFonts w:cs="Arial"/>
                <w:bCs/>
              </w:rPr>
              <w:t>45</w:t>
            </w:r>
          </w:p>
        </w:tc>
        <w:tc>
          <w:tcPr>
            <w:tcW w:w="2266" w:type="dxa"/>
          </w:tcPr>
          <w:p>
            <w:pPr>
              <w:pStyle w:val="Listenabsatz"/>
              <w:spacing w:after="0" w:line="240" w:lineRule="auto"/>
              <w:ind w:left="0"/>
              <w:jc w:val="right"/>
              <w:rPr>
                <w:rFonts w:cs="Arial"/>
                <w:bCs/>
              </w:rPr>
            </w:pPr>
            <w:r>
              <w:rPr>
                <w:rFonts w:cs="Arial"/>
                <w:bCs/>
              </w:rPr>
              <w:t>13,47 %</w:t>
            </w:r>
          </w:p>
        </w:tc>
      </w:tr>
      <w:tr>
        <w:tc>
          <w:tcPr>
            <w:tcW w:w="2265" w:type="dxa"/>
          </w:tcPr>
          <w:p>
            <w:pPr>
              <w:pStyle w:val="Listenabsatz"/>
              <w:spacing w:after="0" w:line="240" w:lineRule="auto"/>
              <w:ind w:left="0"/>
              <w:jc w:val="both"/>
              <w:rPr>
                <w:rFonts w:cs="Arial"/>
                <w:bCs/>
              </w:rPr>
            </w:pPr>
            <w:r>
              <w:rPr>
                <w:rFonts w:cs="Arial"/>
                <w:bCs/>
              </w:rPr>
              <w:t>BGW</w:t>
            </w:r>
          </w:p>
        </w:tc>
        <w:tc>
          <w:tcPr>
            <w:tcW w:w="2265" w:type="dxa"/>
          </w:tcPr>
          <w:p>
            <w:pPr>
              <w:pStyle w:val="Listenabsatz"/>
              <w:spacing w:after="0" w:line="240" w:lineRule="auto"/>
              <w:ind w:left="0"/>
              <w:jc w:val="right"/>
              <w:rPr>
                <w:rFonts w:cs="Arial"/>
                <w:bCs/>
              </w:rPr>
            </w:pPr>
            <w:r>
              <w:rPr>
                <w:rFonts w:cs="Arial"/>
                <w:bCs/>
              </w:rPr>
              <w:t>32.743</w:t>
            </w:r>
          </w:p>
        </w:tc>
        <w:tc>
          <w:tcPr>
            <w:tcW w:w="2266" w:type="dxa"/>
          </w:tcPr>
          <w:p>
            <w:pPr>
              <w:pStyle w:val="Listenabsatz"/>
              <w:spacing w:after="0" w:line="240" w:lineRule="auto"/>
              <w:ind w:left="0"/>
              <w:jc w:val="right"/>
              <w:rPr>
                <w:rFonts w:cs="Arial"/>
                <w:bCs/>
              </w:rPr>
            </w:pPr>
            <w:r>
              <w:rPr>
                <w:rFonts w:cs="Arial"/>
                <w:bCs/>
              </w:rPr>
              <w:t>19.386</w:t>
            </w:r>
          </w:p>
        </w:tc>
        <w:tc>
          <w:tcPr>
            <w:tcW w:w="2266" w:type="dxa"/>
          </w:tcPr>
          <w:p>
            <w:pPr>
              <w:pStyle w:val="Listenabsatz"/>
              <w:spacing w:after="0" w:line="240" w:lineRule="auto"/>
              <w:ind w:left="0"/>
              <w:jc w:val="right"/>
              <w:rPr>
                <w:rFonts w:cs="Arial"/>
                <w:bCs/>
              </w:rPr>
            </w:pPr>
            <w:r>
              <w:rPr>
                <w:rFonts w:cs="Arial"/>
                <w:bCs/>
              </w:rPr>
              <w:t>59,21 %</w:t>
            </w:r>
          </w:p>
        </w:tc>
      </w:tr>
      <w:tr>
        <w:tc>
          <w:tcPr>
            <w:tcW w:w="2265" w:type="dxa"/>
          </w:tcPr>
          <w:p>
            <w:pPr>
              <w:pStyle w:val="Listenabsatz"/>
              <w:spacing w:after="0" w:line="240" w:lineRule="auto"/>
              <w:ind w:left="0"/>
              <w:jc w:val="both"/>
              <w:rPr>
                <w:rFonts w:cs="Arial"/>
                <w:bCs/>
              </w:rPr>
            </w:pPr>
            <w:r>
              <w:rPr>
                <w:rFonts w:cs="Arial"/>
                <w:bCs/>
              </w:rPr>
              <w:t xml:space="preserve">Unfallkassen </w:t>
            </w:r>
          </w:p>
        </w:tc>
        <w:tc>
          <w:tcPr>
            <w:tcW w:w="2265" w:type="dxa"/>
          </w:tcPr>
          <w:p>
            <w:pPr>
              <w:pStyle w:val="Listenabsatz"/>
              <w:spacing w:after="0" w:line="240" w:lineRule="auto"/>
              <w:ind w:left="0"/>
              <w:jc w:val="right"/>
              <w:rPr>
                <w:rFonts w:cs="Arial"/>
                <w:bCs/>
              </w:rPr>
            </w:pPr>
            <w:r>
              <w:rPr>
                <w:rFonts w:cs="Arial"/>
                <w:bCs/>
              </w:rPr>
              <w:t>15.968</w:t>
            </w:r>
          </w:p>
        </w:tc>
        <w:tc>
          <w:tcPr>
            <w:tcW w:w="2266" w:type="dxa"/>
          </w:tcPr>
          <w:p>
            <w:pPr>
              <w:pStyle w:val="Listenabsatz"/>
              <w:spacing w:after="0" w:line="240" w:lineRule="auto"/>
              <w:ind w:left="0"/>
              <w:jc w:val="right"/>
              <w:rPr>
                <w:rFonts w:cs="Arial"/>
                <w:bCs/>
              </w:rPr>
            </w:pPr>
            <w:r>
              <w:rPr>
                <w:rFonts w:cs="Arial"/>
                <w:bCs/>
              </w:rPr>
              <w:t>8.386</w:t>
            </w:r>
          </w:p>
        </w:tc>
        <w:tc>
          <w:tcPr>
            <w:tcW w:w="2266" w:type="dxa"/>
          </w:tcPr>
          <w:p>
            <w:pPr>
              <w:pStyle w:val="Listenabsatz"/>
              <w:spacing w:after="0" w:line="240" w:lineRule="auto"/>
              <w:ind w:left="0"/>
              <w:jc w:val="right"/>
              <w:rPr>
                <w:rFonts w:cs="Arial"/>
                <w:bCs/>
              </w:rPr>
            </w:pPr>
            <w:r>
              <w:rPr>
                <w:rFonts w:cs="Arial"/>
                <w:bCs/>
              </w:rPr>
              <w:t>52,52 %</w:t>
            </w:r>
          </w:p>
        </w:tc>
      </w:tr>
      <w:tr>
        <w:tc>
          <w:tcPr>
            <w:tcW w:w="2265" w:type="dxa"/>
          </w:tcPr>
          <w:p>
            <w:pPr>
              <w:pStyle w:val="Listenabsatz"/>
              <w:spacing w:after="0" w:line="240" w:lineRule="auto"/>
              <w:ind w:left="0"/>
              <w:jc w:val="both"/>
              <w:rPr>
                <w:rFonts w:cs="Arial"/>
                <w:bCs/>
              </w:rPr>
            </w:pPr>
            <w:r>
              <w:rPr>
                <w:rFonts w:cs="Arial"/>
                <w:bCs/>
              </w:rPr>
              <w:t>Gesamt</w:t>
            </w:r>
          </w:p>
        </w:tc>
        <w:tc>
          <w:tcPr>
            <w:tcW w:w="2265" w:type="dxa"/>
          </w:tcPr>
          <w:p>
            <w:pPr>
              <w:pStyle w:val="Listenabsatz"/>
              <w:spacing w:after="0" w:line="240" w:lineRule="auto"/>
              <w:ind w:left="0"/>
              <w:jc w:val="right"/>
              <w:rPr>
                <w:rFonts w:cs="Arial"/>
                <w:bCs/>
              </w:rPr>
            </w:pPr>
            <w:r>
              <w:rPr>
                <w:rFonts w:cs="Arial"/>
                <w:bCs/>
              </w:rPr>
              <w:t>49.424</w:t>
            </w:r>
          </w:p>
        </w:tc>
        <w:tc>
          <w:tcPr>
            <w:tcW w:w="2266" w:type="dxa"/>
          </w:tcPr>
          <w:p>
            <w:pPr>
              <w:pStyle w:val="Listenabsatz"/>
              <w:spacing w:after="0" w:line="240" w:lineRule="auto"/>
              <w:ind w:left="0"/>
              <w:jc w:val="right"/>
              <w:rPr>
                <w:rFonts w:cs="Arial"/>
                <w:bCs/>
              </w:rPr>
            </w:pPr>
            <w:r>
              <w:rPr>
                <w:rFonts w:cs="Arial"/>
                <w:bCs/>
              </w:rPr>
              <w:t>27.789</w:t>
            </w:r>
          </w:p>
        </w:tc>
        <w:tc>
          <w:tcPr>
            <w:tcW w:w="2266" w:type="dxa"/>
          </w:tcPr>
          <w:p>
            <w:pPr>
              <w:pStyle w:val="Listenabsatz"/>
              <w:spacing w:after="0" w:line="240" w:lineRule="auto"/>
              <w:ind w:left="0"/>
              <w:jc w:val="right"/>
              <w:rPr>
                <w:rFonts w:cs="Arial"/>
                <w:bCs/>
              </w:rPr>
            </w:pPr>
            <w:r>
              <w:rPr>
                <w:rFonts w:cs="Arial"/>
                <w:bCs/>
              </w:rPr>
              <w:t>56,23 %</w:t>
            </w:r>
          </w:p>
        </w:tc>
      </w:tr>
    </w:tbl>
    <w:p>
      <w:pPr>
        <w:pStyle w:val="Listenabsatz"/>
        <w:numPr>
          <w:ilvl w:val="0"/>
          <w:numId w:val="43"/>
        </w:numPr>
        <w:spacing w:after="0" w:line="240" w:lineRule="auto"/>
        <w:jc w:val="both"/>
        <w:rPr>
          <w:rFonts w:asciiTheme="minorHAnsi" w:hAnsiTheme="minorHAnsi" w:cs="Arial"/>
          <w:bCs/>
        </w:rPr>
      </w:pPr>
      <w:r>
        <w:rPr>
          <w:rFonts w:asciiTheme="minorHAnsi" w:hAnsiTheme="minorHAnsi" w:cs="Arial"/>
          <w:bCs/>
        </w:rPr>
        <w:t>Mehr als die Hälfte (56,23 %) der angezeigten Berufskrankheiten-Fälle aufgrund von Corona werden anerkannt, mehr als vier von zehn werden nicht anerkannt (43,77 %)</w:t>
      </w:r>
    </w:p>
    <w:p>
      <w:pPr>
        <w:pStyle w:val="Listenabsatz"/>
        <w:numPr>
          <w:ilvl w:val="0"/>
          <w:numId w:val="43"/>
        </w:numPr>
        <w:spacing w:after="0" w:line="240" w:lineRule="auto"/>
        <w:jc w:val="both"/>
        <w:rPr>
          <w:rFonts w:asciiTheme="minorHAnsi" w:hAnsiTheme="minorHAnsi" w:cs="Arial"/>
          <w:bCs/>
        </w:rPr>
      </w:pPr>
      <w:r>
        <w:rPr>
          <w:rFonts w:asciiTheme="minorHAnsi" w:hAnsiTheme="minorHAnsi" w:cs="Arial"/>
          <w:bCs/>
        </w:rPr>
        <w:t>Zwei Drittel der angezeigten Corona-Berufskrankheiten (66,25 %) und sieben von zehn Anerkennungen (69,76 %) entfielen auf die Berufsgenossenschaft für Gesundheit und Wohlfahrtspflege (BGW),</w:t>
      </w:r>
    </w:p>
    <w:p>
      <w:pPr>
        <w:pStyle w:val="Listenabsatz"/>
        <w:numPr>
          <w:ilvl w:val="0"/>
          <w:numId w:val="43"/>
        </w:numPr>
        <w:spacing w:after="0" w:line="240" w:lineRule="auto"/>
        <w:jc w:val="both"/>
        <w:rPr>
          <w:rFonts w:asciiTheme="minorHAnsi" w:hAnsiTheme="minorHAnsi" w:cs="Arial"/>
          <w:bCs/>
        </w:rPr>
      </w:pPr>
      <w:r>
        <w:rPr>
          <w:rFonts w:asciiTheme="minorHAnsi" w:hAnsiTheme="minorHAnsi" w:cs="Arial"/>
          <w:bCs/>
        </w:rPr>
        <w:t xml:space="preserve">Außer bei BGW, der Berufsgenossenschaft Handel und Warenlogistik (BGHW) und den Unfallkassen der Länder liegt die Anerkennungsquote niedriger als 15 %. </w:t>
      </w:r>
    </w:p>
    <w:p>
      <w:pPr>
        <w:pStyle w:val="Listenabsatz"/>
        <w:numPr>
          <w:ilvl w:val="0"/>
          <w:numId w:val="41"/>
        </w:numPr>
        <w:spacing w:after="0" w:line="240" w:lineRule="auto"/>
        <w:jc w:val="both"/>
        <w:rPr>
          <w:rFonts w:asciiTheme="minorHAnsi" w:hAnsiTheme="minorHAnsi" w:cs="Arial"/>
          <w:bCs/>
        </w:rPr>
      </w:pPr>
      <w:r>
        <w:rPr>
          <w:rFonts w:asciiTheme="minorHAnsi" w:hAnsiTheme="minorHAnsi" w:cs="Arial"/>
          <w:b/>
          <w:bCs/>
        </w:rPr>
        <w:lastRenderedPageBreak/>
        <w:t>Covid-19 als Arbeitsunfall</w:t>
      </w:r>
      <w:r>
        <w:rPr>
          <w:rFonts w:asciiTheme="minorHAnsi" w:hAnsiTheme="minorHAnsi" w:cs="Arial"/>
          <w:bCs/>
        </w:rPr>
        <w:t>, Zahl der Unfallmeldungen, der Anerkennungen und der Anerkennungsquote zum Stichtag bis 31. Januar 2021 (s. Fragen 245 u. 246):</w:t>
      </w:r>
    </w:p>
    <w:p>
      <w:pPr>
        <w:pStyle w:val="Listenabsatz"/>
        <w:spacing w:after="0" w:line="240" w:lineRule="auto"/>
        <w:jc w:val="both"/>
        <w:rPr>
          <w:rFonts w:asciiTheme="minorHAnsi" w:hAnsiTheme="minorHAnsi" w:cs="Arial"/>
          <w:bCs/>
        </w:rPr>
      </w:pPr>
      <w:bookmarkStart w:id="1" w:name="_GoBack"/>
      <w:bookmarkEnd w:id="1"/>
    </w:p>
    <w:tbl>
      <w:tblPr>
        <w:tblStyle w:val="Tabellenraster1"/>
        <w:tblW w:w="0" w:type="auto"/>
        <w:tblInd w:w="1440" w:type="dxa"/>
        <w:tblLook w:val="04A0" w:firstRow="1" w:lastRow="0" w:firstColumn="1" w:lastColumn="0" w:noHBand="0" w:noVBand="1"/>
      </w:tblPr>
      <w:tblGrid>
        <w:gridCol w:w="2530"/>
        <w:gridCol w:w="1718"/>
        <w:gridCol w:w="1935"/>
        <w:gridCol w:w="1439"/>
      </w:tblGrid>
      <w:tr>
        <w:tc>
          <w:tcPr>
            <w:tcW w:w="2265" w:type="dxa"/>
          </w:tcPr>
          <w:p>
            <w:pPr>
              <w:spacing w:after="0" w:line="240" w:lineRule="auto"/>
              <w:contextualSpacing/>
              <w:jc w:val="both"/>
              <w:rPr>
                <w:rFonts w:eastAsia="Calibri" w:cs="Arial"/>
                <w:bCs/>
              </w:rPr>
            </w:pPr>
            <w:r>
              <w:rPr>
                <w:rFonts w:ascii="Calibri" w:eastAsia="Calibri" w:hAnsi="Calibri" w:cs="Arial"/>
                <w:bCs/>
              </w:rPr>
              <w:t>Unfallversicherungsträger</w:t>
            </w:r>
          </w:p>
        </w:tc>
        <w:tc>
          <w:tcPr>
            <w:tcW w:w="2265" w:type="dxa"/>
          </w:tcPr>
          <w:p>
            <w:pPr>
              <w:spacing w:after="0" w:line="240" w:lineRule="auto"/>
              <w:contextualSpacing/>
              <w:jc w:val="both"/>
              <w:rPr>
                <w:rFonts w:eastAsia="Calibri" w:cs="Arial"/>
                <w:bCs/>
              </w:rPr>
            </w:pPr>
            <w:r>
              <w:rPr>
                <w:rFonts w:ascii="Calibri" w:eastAsia="Calibri" w:hAnsi="Calibri" w:cs="Arial"/>
                <w:bCs/>
              </w:rPr>
              <w:t>Meldungen</w:t>
            </w:r>
          </w:p>
        </w:tc>
        <w:tc>
          <w:tcPr>
            <w:tcW w:w="2266" w:type="dxa"/>
          </w:tcPr>
          <w:p>
            <w:pPr>
              <w:spacing w:after="0" w:line="240" w:lineRule="auto"/>
              <w:contextualSpacing/>
              <w:jc w:val="both"/>
              <w:rPr>
                <w:rFonts w:eastAsia="Calibri" w:cs="Arial"/>
                <w:bCs/>
              </w:rPr>
            </w:pPr>
            <w:r>
              <w:rPr>
                <w:rFonts w:ascii="Calibri" w:eastAsia="Calibri" w:hAnsi="Calibri" w:cs="Arial"/>
                <w:bCs/>
              </w:rPr>
              <w:t>Anerkennungen</w:t>
            </w:r>
          </w:p>
        </w:tc>
        <w:tc>
          <w:tcPr>
            <w:tcW w:w="2266" w:type="dxa"/>
          </w:tcPr>
          <w:p>
            <w:pPr>
              <w:spacing w:after="0" w:line="240" w:lineRule="auto"/>
              <w:contextualSpacing/>
              <w:jc w:val="both"/>
              <w:rPr>
                <w:rFonts w:eastAsia="Calibri" w:cs="Arial"/>
                <w:bCs/>
              </w:rPr>
            </w:pPr>
            <w:r>
              <w:rPr>
                <w:rFonts w:ascii="Calibri" w:eastAsia="Calibri" w:hAnsi="Calibri" w:cstheme="minorHAnsi"/>
                <w:bCs/>
              </w:rPr>
              <w:t>Ø</w:t>
            </w:r>
          </w:p>
        </w:tc>
      </w:tr>
      <w:tr>
        <w:tc>
          <w:tcPr>
            <w:tcW w:w="2265" w:type="dxa"/>
          </w:tcPr>
          <w:p>
            <w:pPr>
              <w:spacing w:after="0" w:line="240" w:lineRule="auto"/>
              <w:contextualSpacing/>
              <w:jc w:val="both"/>
              <w:rPr>
                <w:rFonts w:eastAsia="Calibri" w:cs="Arial"/>
                <w:bCs/>
              </w:rPr>
            </w:pPr>
            <w:r>
              <w:rPr>
                <w:rFonts w:ascii="Calibri" w:eastAsia="Calibri" w:hAnsi="Calibri" w:cs="Arial"/>
                <w:bCs/>
              </w:rPr>
              <w:t>BG RCI</w:t>
            </w:r>
          </w:p>
        </w:tc>
        <w:tc>
          <w:tcPr>
            <w:tcW w:w="2265" w:type="dxa"/>
          </w:tcPr>
          <w:p>
            <w:pPr>
              <w:spacing w:after="0" w:line="240" w:lineRule="auto"/>
              <w:contextualSpacing/>
              <w:jc w:val="right"/>
              <w:rPr>
                <w:rFonts w:eastAsia="Calibri" w:cs="Arial"/>
                <w:bCs/>
              </w:rPr>
            </w:pPr>
            <w:r>
              <w:rPr>
                <w:rFonts w:eastAsia="Calibri" w:cs="Arial"/>
                <w:bCs/>
              </w:rPr>
              <w:t>15</w:t>
            </w:r>
          </w:p>
        </w:tc>
        <w:tc>
          <w:tcPr>
            <w:tcW w:w="2266" w:type="dxa"/>
          </w:tcPr>
          <w:p>
            <w:pPr>
              <w:spacing w:after="0" w:line="240" w:lineRule="auto"/>
              <w:contextualSpacing/>
              <w:jc w:val="right"/>
              <w:rPr>
                <w:rFonts w:eastAsia="Calibri" w:cs="Arial"/>
                <w:bCs/>
              </w:rPr>
            </w:pPr>
            <w:r>
              <w:rPr>
                <w:rFonts w:eastAsia="Calibri" w:cs="Arial"/>
                <w:bCs/>
              </w:rPr>
              <w:t>0</w:t>
            </w:r>
          </w:p>
        </w:tc>
        <w:tc>
          <w:tcPr>
            <w:tcW w:w="2266" w:type="dxa"/>
          </w:tcPr>
          <w:p>
            <w:pPr>
              <w:spacing w:after="0" w:line="240" w:lineRule="auto"/>
              <w:contextualSpacing/>
              <w:jc w:val="right"/>
              <w:rPr>
                <w:rFonts w:eastAsia="Calibri" w:cs="Arial"/>
                <w:bCs/>
              </w:rPr>
            </w:pPr>
            <w:r>
              <w:rPr>
                <w:rFonts w:eastAsia="Calibri" w:cs="Arial"/>
                <w:bCs/>
              </w:rPr>
              <w:t>0 %</w:t>
            </w:r>
          </w:p>
        </w:tc>
      </w:tr>
      <w:tr>
        <w:tc>
          <w:tcPr>
            <w:tcW w:w="2265" w:type="dxa"/>
          </w:tcPr>
          <w:p>
            <w:pPr>
              <w:spacing w:after="0" w:line="240" w:lineRule="auto"/>
              <w:contextualSpacing/>
              <w:jc w:val="both"/>
              <w:rPr>
                <w:rFonts w:eastAsia="Calibri" w:cs="Arial"/>
                <w:bCs/>
              </w:rPr>
            </w:pPr>
            <w:r>
              <w:rPr>
                <w:rFonts w:ascii="Calibri" w:eastAsia="Calibri" w:hAnsi="Calibri" w:cs="Arial"/>
                <w:bCs/>
              </w:rPr>
              <w:t>BGHM</w:t>
            </w:r>
          </w:p>
        </w:tc>
        <w:tc>
          <w:tcPr>
            <w:tcW w:w="2265" w:type="dxa"/>
          </w:tcPr>
          <w:p>
            <w:pPr>
              <w:spacing w:after="0" w:line="240" w:lineRule="auto"/>
              <w:contextualSpacing/>
              <w:jc w:val="right"/>
              <w:rPr>
                <w:rFonts w:eastAsia="Calibri" w:cs="Arial"/>
                <w:bCs/>
              </w:rPr>
            </w:pPr>
            <w:r>
              <w:rPr>
                <w:rFonts w:eastAsia="Calibri" w:cs="Arial"/>
                <w:bCs/>
              </w:rPr>
              <w:t>182</w:t>
            </w:r>
          </w:p>
        </w:tc>
        <w:tc>
          <w:tcPr>
            <w:tcW w:w="2266" w:type="dxa"/>
          </w:tcPr>
          <w:p>
            <w:pPr>
              <w:spacing w:after="0" w:line="240" w:lineRule="auto"/>
              <w:contextualSpacing/>
              <w:jc w:val="right"/>
              <w:rPr>
                <w:rFonts w:eastAsia="Calibri" w:cs="Arial"/>
                <w:bCs/>
              </w:rPr>
            </w:pPr>
            <w:r>
              <w:rPr>
                <w:rFonts w:eastAsia="Calibri" w:cs="Arial"/>
                <w:bCs/>
              </w:rPr>
              <w:t>40</w:t>
            </w:r>
          </w:p>
        </w:tc>
        <w:tc>
          <w:tcPr>
            <w:tcW w:w="2266" w:type="dxa"/>
          </w:tcPr>
          <w:p>
            <w:pPr>
              <w:spacing w:after="0" w:line="240" w:lineRule="auto"/>
              <w:contextualSpacing/>
              <w:jc w:val="right"/>
              <w:rPr>
                <w:rFonts w:eastAsia="Calibri" w:cs="Arial"/>
                <w:bCs/>
              </w:rPr>
            </w:pPr>
            <w:r>
              <w:rPr>
                <w:rFonts w:eastAsia="Calibri" w:cs="Arial"/>
                <w:bCs/>
              </w:rPr>
              <w:t>21,98 %</w:t>
            </w:r>
          </w:p>
        </w:tc>
      </w:tr>
      <w:tr>
        <w:tc>
          <w:tcPr>
            <w:tcW w:w="2265" w:type="dxa"/>
          </w:tcPr>
          <w:p>
            <w:pPr>
              <w:spacing w:after="0" w:line="240" w:lineRule="auto"/>
              <w:contextualSpacing/>
              <w:jc w:val="both"/>
              <w:rPr>
                <w:rFonts w:eastAsia="Calibri" w:cs="Arial"/>
                <w:bCs/>
              </w:rPr>
            </w:pPr>
            <w:r>
              <w:rPr>
                <w:rFonts w:ascii="Calibri" w:eastAsia="Calibri" w:hAnsi="Calibri" w:cs="Arial"/>
                <w:bCs/>
              </w:rPr>
              <w:t>BG ETEM</w:t>
            </w:r>
          </w:p>
        </w:tc>
        <w:tc>
          <w:tcPr>
            <w:tcW w:w="2265" w:type="dxa"/>
          </w:tcPr>
          <w:p>
            <w:pPr>
              <w:spacing w:after="0" w:line="240" w:lineRule="auto"/>
              <w:contextualSpacing/>
              <w:jc w:val="right"/>
              <w:rPr>
                <w:rFonts w:eastAsia="Calibri" w:cs="Arial"/>
                <w:bCs/>
              </w:rPr>
            </w:pPr>
            <w:r>
              <w:rPr>
                <w:rFonts w:eastAsia="Calibri" w:cs="Arial"/>
                <w:bCs/>
              </w:rPr>
              <w:t>125</w:t>
            </w:r>
          </w:p>
        </w:tc>
        <w:tc>
          <w:tcPr>
            <w:tcW w:w="2266" w:type="dxa"/>
          </w:tcPr>
          <w:p>
            <w:pPr>
              <w:spacing w:after="0" w:line="240" w:lineRule="auto"/>
              <w:contextualSpacing/>
              <w:jc w:val="right"/>
              <w:rPr>
                <w:rFonts w:eastAsia="Calibri" w:cs="Arial"/>
                <w:bCs/>
              </w:rPr>
            </w:pPr>
            <w:r>
              <w:rPr>
                <w:rFonts w:eastAsia="Calibri" w:cs="Arial"/>
                <w:bCs/>
              </w:rPr>
              <w:t>5</w:t>
            </w:r>
          </w:p>
        </w:tc>
        <w:tc>
          <w:tcPr>
            <w:tcW w:w="2266" w:type="dxa"/>
          </w:tcPr>
          <w:p>
            <w:pPr>
              <w:spacing w:after="0" w:line="240" w:lineRule="auto"/>
              <w:contextualSpacing/>
              <w:jc w:val="right"/>
              <w:rPr>
                <w:rFonts w:eastAsia="Calibri" w:cs="Arial"/>
                <w:bCs/>
              </w:rPr>
            </w:pPr>
            <w:r>
              <w:rPr>
                <w:rFonts w:eastAsia="Calibri" w:cs="Arial"/>
                <w:bCs/>
              </w:rPr>
              <w:t>4 %</w:t>
            </w:r>
          </w:p>
        </w:tc>
      </w:tr>
      <w:tr>
        <w:tc>
          <w:tcPr>
            <w:tcW w:w="2265" w:type="dxa"/>
          </w:tcPr>
          <w:p>
            <w:pPr>
              <w:spacing w:after="0" w:line="240" w:lineRule="auto"/>
              <w:contextualSpacing/>
              <w:jc w:val="both"/>
              <w:rPr>
                <w:rFonts w:eastAsia="Calibri" w:cs="Arial"/>
                <w:bCs/>
              </w:rPr>
            </w:pPr>
            <w:r>
              <w:rPr>
                <w:rFonts w:ascii="Calibri" w:eastAsia="Calibri" w:hAnsi="Calibri" w:cs="Arial"/>
                <w:bCs/>
              </w:rPr>
              <w:t>BG BAU</w:t>
            </w:r>
          </w:p>
        </w:tc>
        <w:tc>
          <w:tcPr>
            <w:tcW w:w="2265" w:type="dxa"/>
          </w:tcPr>
          <w:p>
            <w:pPr>
              <w:spacing w:after="0" w:line="240" w:lineRule="auto"/>
              <w:contextualSpacing/>
              <w:jc w:val="right"/>
              <w:rPr>
                <w:rFonts w:eastAsia="Calibri" w:cs="Arial"/>
                <w:bCs/>
              </w:rPr>
            </w:pPr>
            <w:r>
              <w:rPr>
                <w:rFonts w:eastAsia="Calibri" w:cs="Arial"/>
                <w:bCs/>
              </w:rPr>
              <w:t>33</w:t>
            </w:r>
          </w:p>
        </w:tc>
        <w:tc>
          <w:tcPr>
            <w:tcW w:w="2266" w:type="dxa"/>
          </w:tcPr>
          <w:p>
            <w:pPr>
              <w:spacing w:after="0" w:line="240" w:lineRule="auto"/>
              <w:contextualSpacing/>
              <w:jc w:val="right"/>
              <w:rPr>
                <w:rFonts w:eastAsia="Calibri" w:cs="Arial"/>
                <w:bCs/>
              </w:rPr>
            </w:pPr>
            <w:r>
              <w:rPr>
                <w:rFonts w:eastAsia="Calibri" w:cs="Arial"/>
                <w:bCs/>
              </w:rPr>
              <w:t>0</w:t>
            </w:r>
          </w:p>
        </w:tc>
        <w:tc>
          <w:tcPr>
            <w:tcW w:w="2266" w:type="dxa"/>
          </w:tcPr>
          <w:p>
            <w:pPr>
              <w:spacing w:after="0" w:line="240" w:lineRule="auto"/>
              <w:contextualSpacing/>
              <w:jc w:val="right"/>
              <w:rPr>
                <w:rFonts w:eastAsia="Calibri" w:cs="Arial"/>
                <w:bCs/>
              </w:rPr>
            </w:pPr>
            <w:r>
              <w:rPr>
                <w:rFonts w:eastAsia="Calibri" w:cs="Arial"/>
                <w:bCs/>
              </w:rPr>
              <w:t>0 %</w:t>
            </w:r>
          </w:p>
        </w:tc>
      </w:tr>
      <w:tr>
        <w:tc>
          <w:tcPr>
            <w:tcW w:w="2265" w:type="dxa"/>
          </w:tcPr>
          <w:p>
            <w:pPr>
              <w:spacing w:after="0" w:line="240" w:lineRule="auto"/>
              <w:contextualSpacing/>
              <w:jc w:val="both"/>
              <w:rPr>
                <w:rFonts w:eastAsia="Calibri" w:cs="Arial"/>
                <w:bCs/>
              </w:rPr>
            </w:pPr>
            <w:r>
              <w:rPr>
                <w:rFonts w:ascii="Calibri" w:eastAsia="Calibri" w:hAnsi="Calibri" w:cs="Arial"/>
                <w:bCs/>
              </w:rPr>
              <w:t>BGN</w:t>
            </w:r>
          </w:p>
        </w:tc>
        <w:tc>
          <w:tcPr>
            <w:tcW w:w="2265" w:type="dxa"/>
          </w:tcPr>
          <w:p>
            <w:pPr>
              <w:spacing w:after="0" w:line="240" w:lineRule="auto"/>
              <w:contextualSpacing/>
              <w:jc w:val="right"/>
              <w:rPr>
                <w:rFonts w:eastAsia="Calibri" w:cs="Arial"/>
                <w:bCs/>
              </w:rPr>
            </w:pPr>
            <w:r>
              <w:rPr>
                <w:rFonts w:eastAsia="Calibri" w:cs="Arial"/>
                <w:bCs/>
              </w:rPr>
              <w:t>3.729</w:t>
            </w:r>
          </w:p>
        </w:tc>
        <w:tc>
          <w:tcPr>
            <w:tcW w:w="2266" w:type="dxa"/>
          </w:tcPr>
          <w:p>
            <w:pPr>
              <w:spacing w:after="0" w:line="240" w:lineRule="auto"/>
              <w:contextualSpacing/>
              <w:jc w:val="right"/>
              <w:rPr>
                <w:rFonts w:eastAsia="Calibri" w:cs="Arial"/>
                <w:bCs/>
              </w:rPr>
            </w:pPr>
            <w:r>
              <w:rPr>
                <w:rFonts w:eastAsia="Calibri" w:cs="Arial"/>
                <w:bCs/>
              </w:rPr>
              <w:t>588</w:t>
            </w:r>
          </w:p>
        </w:tc>
        <w:tc>
          <w:tcPr>
            <w:tcW w:w="2266" w:type="dxa"/>
          </w:tcPr>
          <w:p>
            <w:pPr>
              <w:spacing w:after="0" w:line="240" w:lineRule="auto"/>
              <w:contextualSpacing/>
              <w:jc w:val="right"/>
              <w:rPr>
                <w:rFonts w:eastAsia="Calibri" w:cs="Arial"/>
                <w:bCs/>
              </w:rPr>
            </w:pPr>
            <w:r>
              <w:rPr>
                <w:rFonts w:eastAsia="Calibri" w:cs="Arial"/>
                <w:bCs/>
              </w:rPr>
              <w:t>15,77 %</w:t>
            </w:r>
          </w:p>
        </w:tc>
      </w:tr>
      <w:tr>
        <w:tc>
          <w:tcPr>
            <w:tcW w:w="2265" w:type="dxa"/>
          </w:tcPr>
          <w:p>
            <w:pPr>
              <w:spacing w:after="0" w:line="240" w:lineRule="auto"/>
              <w:contextualSpacing/>
              <w:jc w:val="both"/>
              <w:rPr>
                <w:rFonts w:eastAsia="Calibri" w:cs="Arial"/>
                <w:bCs/>
              </w:rPr>
            </w:pPr>
            <w:r>
              <w:rPr>
                <w:rFonts w:ascii="Calibri" w:eastAsia="Calibri" w:hAnsi="Calibri" w:cs="Arial"/>
                <w:bCs/>
              </w:rPr>
              <w:t>BGHW</w:t>
            </w:r>
          </w:p>
        </w:tc>
        <w:tc>
          <w:tcPr>
            <w:tcW w:w="2265" w:type="dxa"/>
          </w:tcPr>
          <w:p>
            <w:pPr>
              <w:spacing w:after="0" w:line="240" w:lineRule="auto"/>
              <w:contextualSpacing/>
              <w:jc w:val="right"/>
              <w:rPr>
                <w:rFonts w:eastAsia="Calibri" w:cs="Arial"/>
                <w:bCs/>
              </w:rPr>
            </w:pPr>
            <w:r>
              <w:rPr>
                <w:rFonts w:eastAsia="Calibri" w:cs="Arial"/>
                <w:bCs/>
              </w:rPr>
              <w:t>334</w:t>
            </w:r>
          </w:p>
        </w:tc>
        <w:tc>
          <w:tcPr>
            <w:tcW w:w="2266" w:type="dxa"/>
          </w:tcPr>
          <w:p>
            <w:pPr>
              <w:spacing w:after="0" w:line="240" w:lineRule="auto"/>
              <w:contextualSpacing/>
              <w:jc w:val="right"/>
              <w:rPr>
                <w:rFonts w:eastAsia="Calibri" w:cs="Arial"/>
                <w:bCs/>
              </w:rPr>
            </w:pPr>
            <w:r>
              <w:rPr>
                <w:rFonts w:eastAsia="Calibri" w:cs="Arial"/>
                <w:bCs/>
              </w:rPr>
              <w:t>2</w:t>
            </w:r>
          </w:p>
        </w:tc>
        <w:tc>
          <w:tcPr>
            <w:tcW w:w="2266" w:type="dxa"/>
          </w:tcPr>
          <w:p>
            <w:pPr>
              <w:spacing w:after="0" w:line="240" w:lineRule="auto"/>
              <w:contextualSpacing/>
              <w:jc w:val="right"/>
              <w:rPr>
                <w:rFonts w:eastAsia="Calibri" w:cs="Arial"/>
                <w:bCs/>
              </w:rPr>
            </w:pPr>
            <w:r>
              <w:rPr>
                <w:rFonts w:eastAsia="Calibri" w:cs="Arial"/>
                <w:bCs/>
              </w:rPr>
              <w:t>0,6 %</w:t>
            </w:r>
          </w:p>
        </w:tc>
      </w:tr>
      <w:tr>
        <w:tc>
          <w:tcPr>
            <w:tcW w:w="2265" w:type="dxa"/>
          </w:tcPr>
          <w:p>
            <w:pPr>
              <w:spacing w:after="0" w:line="240" w:lineRule="auto"/>
              <w:contextualSpacing/>
              <w:jc w:val="both"/>
              <w:rPr>
                <w:rFonts w:eastAsia="Calibri" w:cs="Arial"/>
                <w:bCs/>
              </w:rPr>
            </w:pPr>
            <w:r>
              <w:rPr>
                <w:rFonts w:ascii="Calibri" w:eastAsia="Calibri" w:hAnsi="Calibri" w:cs="Arial"/>
                <w:bCs/>
              </w:rPr>
              <w:t>BG Verkehr</w:t>
            </w:r>
          </w:p>
        </w:tc>
        <w:tc>
          <w:tcPr>
            <w:tcW w:w="2265" w:type="dxa"/>
          </w:tcPr>
          <w:p>
            <w:pPr>
              <w:spacing w:after="0" w:line="240" w:lineRule="auto"/>
              <w:contextualSpacing/>
              <w:jc w:val="right"/>
              <w:rPr>
                <w:rFonts w:eastAsia="Calibri" w:cs="Arial"/>
                <w:bCs/>
              </w:rPr>
            </w:pPr>
            <w:r>
              <w:rPr>
                <w:rFonts w:eastAsia="Calibri" w:cs="Arial"/>
                <w:bCs/>
              </w:rPr>
              <w:t>51</w:t>
            </w:r>
          </w:p>
        </w:tc>
        <w:tc>
          <w:tcPr>
            <w:tcW w:w="2266" w:type="dxa"/>
          </w:tcPr>
          <w:p>
            <w:pPr>
              <w:spacing w:after="0" w:line="240" w:lineRule="auto"/>
              <w:contextualSpacing/>
              <w:jc w:val="right"/>
              <w:rPr>
                <w:rFonts w:eastAsia="Calibri" w:cs="Arial"/>
                <w:bCs/>
              </w:rPr>
            </w:pPr>
            <w:r>
              <w:rPr>
                <w:rFonts w:eastAsia="Calibri" w:cs="Arial"/>
                <w:bCs/>
              </w:rPr>
              <w:t>21</w:t>
            </w:r>
          </w:p>
        </w:tc>
        <w:tc>
          <w:tcPr>
            <w:tcW w:w="2266" w:type="dxa"/>
          </w:tcPr>
          <w:p>
            <w:pPr>
              <w:spacing w:after="0" w:line="240" w:lineRule="auto"/>
              <w:contextualSpacing/>
              <w:jc w:val="right"/>
              <w:rPr>
                <w:rFonts w:eastAsia="Calibri" w:cs="Arial"/>
                <w:bCs/>
              </w:rPr>
            </w:pPr>
            <w:r>
              <w:rPr>
                <w:rFonts w:eastAsia="Calibri" w:cs="Arial"/>
                <w:bCs/>
              </w:rPr>
              <w:t>41,18 %</w:t>
            </w:r>
          </w:p>
        </w:tc>
      </w:tr>
      <w:tr>
        <w:tc>
          <w:tcPr>
            <w:tcW w:w="2265" w:type="dxa"/>
          </w:tcPr>
          <w:p>
            <w:pPr>
              <w:spacing w:after="0" w:line="240" w:lineRule="auto"/>
              <w:contextualSpacing/>
              <w:jc w:val="both"/>
              <w:rPr>
                <w:rFonts w:eastAsia="Calibri" w:cs="Arial"/>
                <w:bCs/>
              </w:rPr>
            </w:pPr>
            <w:r>
              <w:rPr>
                <w:rFonts w:ascii="Calibri" w:eastAsia="Calibri" w:hAnsi="Calibri" w:cs="Arial"/>
                <w:bCs/>
              </w:rPr>
              <w:t>VBG</w:t>
            </w:r>
          </w:p>
        </w:tc>
        <w:tc>
          <w:tcPr>
            <w:tcW w:w="2265" w:type="dxa"/>
          </w:tcPr>
          <w:p>
            <w:pPr>
              <w:spacing w:after="0" w:line="240" w:lineRule="auto"/>
              <w:contextualSpacing/>
              <w:jc w:val="right"/>
              <w:rPr>
                <w:rFonts w:eastAsia="Calibri" w:cs="Arial"/>
                <w:bCs/>
              </w:rPr>
            </w:pPr>
            <w:r>
              <w:rPr>
                <w:rFonts w:eastAsia="Calibri" w:cs="Arial"/>
                <w:bCs/>
              </w:rPr>
              <w:t>583</w:t>
            </w:r>
          </w:p>
        </w:tc>
        <w:tc>
          <w:tcPr>
            <w:tcW w:w="2266" w:type="dxa"/>
          </w:tcPr>
          <w:p>
            <w:pPr>
              <w:spacing w:after="0" w:line="240" w:lineRule="auto"/>
              <w:contextualSpacing/>
              <w:jc w:val="right"/>
              <w:rPr>
                <w:rFonts w:eastAsia="Calibri" w:cs="Arial"/>
                <w:bCs/>
              </w:rPr>
            </w:pPr>
            <w:r>
              <w:rPr>
                <w:rFonts w:eastAsia="Calibri" w:cs="Arial"/>
                <w:bCs/>
              </w:rPr>
              <w:t>17</w:t>
            </w:r>
          </w:p>
        </w:tc>
        <w:tc>
          <w:tcPr>
            <w:tcW w:w="2266" w:type="dxa"/>
          </w:tcPr>
          <w:p>
            <w:pPr>
              <w:spacing w:after="0" w:line="240" w:lineRule="auto"/>
              <w:contextualSpacing/>
              <w:jc w:val="center"/>
              <w:rPr>
                <w:rFonts w:eastAsia="Calibri" w:cs="Arial"/>
                <w:bCs/>
              </w:rPr>
            </w:pPr>
            <w:r>
              <w:rPr>
                <w:rFonts w:eastAsia="Calibri" w:cs="Arial"/>
                <w:bCs/>
              </w:rPr>
              <w:t xml:space="preserve">            2,92 %</w:t>
            </w:r>
          </w:p>
        </w:tc>
      </w:tr>
      <w:tr>
        <w:tc>
          <w:tcPr>
            <w:tcW w:w="2265" w:type="dxa"/>
          </w:tcPr>
          <w:p>
            <w:pPr>
              <w:spacing w:after="0" w:line="240" w:lineRule="auto"/>
              <w:contextualSpacing/>
              <w:jc w:val="both"/>
              <w:rPr>
                <w:rFonts w:eastAsia="Calibri" w:cs="Arial"/>
                <w:bCs/>
              </w:rPr>
            </w:pPr>
            <w:r>
              <w:rPr>
                <w:rFonts w:ascii="Calibri" w:eastAsia="Calibri" w:hAnsi="Calibri" w:cs="Arial"/>
                <w:bCs/>
              </w:rPr>
              <w:t>BGW</w:t>
            </w:r>
          </w:p>
        </w:tc>
        <w:tc>
          <w:tcPr>
            <w:tcW w:w="2265" w:type="dxa"/>
          </w:tcPr>
          <w:p>
            <w:pPr>
              <w:spacing w:after="0" w:line="240" w:lineRule="auto"/>
              <w:contextualSpacing/>
              <w:jc w:val="right"/>
              <w:rPr>
                <w:rFonts w:eastAsia="Calibri" w:cs="Arial"/>
                <w:bCs/>
              </w:rPr>
            </w:pPr>
            <w:r>
              <w:rPr>
                <w:rFonts w:eastAsia="Calibri" w:cs="Arial"/>
                <w:bCs/>
              </w:rPr>
              <w:t>4</w:t>
            </w:r>
          </w:p>
        </w:tc>
        <w:tc>
          <w:tcPr>
            <w:tcW w:w="2266" w:type="dxa"/>
          </w:tcPr>
          <w:p>
            <w:pPr>
              <w:spacing w:after="0" w:line="240" w:lineRule="auto"/>
              <w:contextualSpacing/>
              <w:jc w:val="right"/>
              <w:rPr>
                <w:rFonts w:eastAsia="Calibri" w:cs="Arial"/>
                <w:bCs/>
              </w:rPr>
            </w:pPr>
            <w:r>
              <w:rPr>
                <w:rFonts w:eastAsia="Calibri" w:cs="Arial"/>
                <w:bCs/>
              </w:rPr>
              <w:t>4</w:t>
            </w:r>
          </w:p>
        </w:tc>
        <w:tc>
          <w:tcPr>
            <w:tcW w:w="2266" w:type="dxa"/>
          </w:tcPr>
          <w:p>
            <w:pPr>
              <w:spacing w:after="0" w:line="240" w:lineRule="auto"/>
              <w:contextualSpacing/>
              <w:jc w:val="right"/>
              <w:rPr>
                <w:rFonts w:eastAsia="Calibri" w:cs="Arial"/>
                <w:bCs/>
              </w:rPr>
            </w:pPr>
            <w:r>
              <w:rPr>
                <w:rFonts w:eastAsia="Calibri" w:cs="Arial"/>
                <w:bCs/>
              </w:rPr>
              <w:t>100 %</w:t>
            </w:r>
          </w:p>
        </w:tc>
      </w:tr>
      <w:tr>
        <w:tc>
          <w:tcPr>
            <w:tcW w:w="2265" w:type="dxa"/>
          </w:tcPr>
          <w:p>
            <w:pPr>
              <w:spacing w:after="0" w:line="240" w:lineRule="auto"/>
              <w:contextualSpacing/>
              <w:jc w:val="both"/>
              <w:rPr>
                <w:rFonts w:eastAsia="Calibri" w:cs="Arial"/>
                <w:bCs/>
              </w:rPr>
            </w:pPr>
            <w:r>
              <w:rPr>
                <w:rFonts w:ascii="Calibri" w:eastAsia="Calibri" w:hAnsi="Calibri" w:cs="Arial"/>
                <w:bCs/>
              </w:rPr>
              <w:t xml:space="preserve">Unfallkassen </w:t>
            </w:r>
          </w:p>
        </w:tc>
        <w:tc>
          <w:tcPr>
            <w:tcW w:w="2265" w:type="dxa"/>
          </w:tcPr>
          <w:p>
            <w:pPr>
              <w:spacing w:after="0" w:line="240" w:lineRule="auto"/>
              <w:contextualSpacing/>
              <w:jc w:val="right"/>
              <w:rPr>
                <w:rFonts w:eastAsia="Calibri" w:cs="Arial"/>
                <w:bCs/>
              </w:rPr>
            </w:pPr>
            <w:r>
              <w:rPr>
                <w:rFonts w:eastAsia="Calibri" w:cs="Arial"/>
                <w:bCs/>
              </w:rPr>
              <w:t>8.310</w:t>
            </w:r>
          </w:p>
        </w:tc>
        <w:tc>
          <w:tcPr>
            <w:tcW w:w="2266" w:type="dxa"/>
          </w:tcPr>
          <w:p>
            <w:pPr>
              <w:spacing w:after="0" w:line="240" w:lineRule="auto"/>
              <w:contextualSpacing/>
              <w:jc w:val="right"/>
              <w:rPr>
                <w:rFonts w:eastAsia="Calibri" w:cs="Arial"/>
                <w:bCs/>
              </w:rPr>
            </w:pPr>
            <w:r>
              <w:rPr>
                <w:rFonts w:eastAsia="Calibri" w:cs="Arial"/>
                <w:bCs/>
              </w:rPr>
              <w:t>3.863</w:t>
            </w:r>
          </w:p>
        </w:tc>
        <w:tc>
          <w:tcPr>
            <w:tcW w:w="2266" w:type="dxa"/>
          </w:tcPr>
          <w:p>
            <w:pPr>
              <w:spacing w:after="0" w:line="240" w:lineRule="auto"/>
              <w:contextualSpacing/>
              <w:jc w:val="right"/>
              <w:rPr>
                <w:rFonts w:eastAsia="Calibri" w:cs="Arial"/>
                <w:bCs/>
              </w:rPr>
            </w:pPr>
            <w:r>
              <w:rPr>
                <w:rFonts w:eastAsia="Calibri" w:cs="Arial"/>
                <w:bCs/>
              </w:rPr>
              <w:t>46,49 %</w:t>
            </w:r>
          </w:p>
        </w:tc>
      </w:tr>
      <w:tr>
        <w:tc>
          <w:tcPr>
            <w:tcW w:w="2265" w:type="dxa"/>
          </w:tcPr>
          <w:p>
            <w:pPr>
              <w:spacing w:after="0" w:line="240" w:lineRule="auto"/>
              <w:contextualSpacing/>
              <w:jc w:val="both"/>
              <w:rPr>
                <w:rFonts w:eastAsia="Calibri" w:cs="Arial"/>
                <w:bCs/>
              </w:rPr>
            </w:pPr>
            <w:r>
              <w:rPr>
                <w:rFonts w:ascii="Calibri" w:eastAsia="Calibri" w:hAnsi="Calibri" w:cs="Arial"/>
                <w:bCs/>
              </w:rPr>
              <w:t>Gesamt</w:t>
            </w:r>
          </w:p>
        </w:tc>
        <w:tc>
          <w:tcPr>
            <w:tcW w:w="2265" w:type="dxa"/>
          </w:tcPr>
          <w:p>
            <w:pPr>
              <w:spacing w:after="0" w:line="240" w:lineRule="auto"/>
              <w:contextualSpacing/>
              <w:jc w:val="right"/>
              <w:rPr>
                <w:rFonts w:eastAsia="Calibri" w:cs="Arial"/>
                <w:bCs/>
              </w:rPr>
            </w:pPr>
            <w:r>
              <w:rPr>
                <w:rFonts w:eastAsia="Calibri" w:cs="Arial"/>
                <w:bCs/>
              </w:rPr>
              <w:t>13.366</w:t>
            </w:r>
          </w:p>
        </w:tc>
        <w:tc>
          <w:tcPr>
            <w:tcW w:w="2266" w:type="dxa"/>
          </w:tcPr>
          <w:p>
            <w:pPr>
              <w:spacing w:after="0" w:line="240" w:lineRule="auto"/>
              <w:contextualSpacing/>
              <w:jc w:val="right"/>
              <w:rPr>
                <w:rFonts w:eastAsia="Calibri" w:cs="Arial"/>
                <w:bCs/>
              </w:rPr>
            </w:pPr>
            <w:r>
              <w:rPr>
                <w:rFonts w:eastAsia="Calibri" w:cs="Arial"/>
                <w:bCs/>
              </w:rPr>
              <w:t>4.540</w:t>
            </w:r>
          </w:p>
        </w:tc>
        <w:tc>
          <w:tcPr>
            <w:tcW w:w="2266" w:type="dxa"/>
          </w:tcPr>
          <w:p>
            <w:pPr>
              <w:spacing w:after="0" w:line="240" w:lineRule="auto"/>
              <w:contextualSpacing/>
              <w:jc w:val="right"/>
              <w:rPr>
                <w:rFonts w:eastAsia="Calibri" w:cs="Arial"/>
                <w:bCs/>
              </w:rPr>
            </w:pPr>
            <w:r>
              <w:rPr>
                <w:rFonts w:eastAsia="Calibri" w:cs="Arial"/>
                <w:bCs/>
              </w:rPr>
              <w:t>33,97 %</w:t>
            </w:r>
          </w:p>
        </w:tc>
      </w:tr>
    </w:tbl>
    <w:p>
      <w:pPr>
        <w:spacing w:after="0" w:line="240" w:lineRule="auto"/>
        <w:jc w:val="both"/>
        <w:rPr>
          <w:rFonts w:asciiTheme="minorHAnsi" w:hAnsiTheme="minorHAnsi" w:cs="Arial"/>
          <w:bCs/>
        </w:rPr>
      </w:pPr>
      <w:r>
        <w:rPr>
          <w:rFonts w:asciiTheme="minorHAnsi" w:hAnsiTheme="minorHAnsi" w:cs="Arial"/>
          <w:bCs/>
        </w:rPr>
        <w:t xml:space="preserve"> </w:t>
      </w:r>
    </w:p>
    <w:p>
      <w:pPr>
        <w:pStyle w:val="Listenabsatz"/>
        <w:numPr>
          <w:ilvl w:val="0"/>
          <w:numId w:val="43"/>
        </w:numPr>
        <w:spacing w:after="0" w:line="240" w:lineRule="auto"/>
        <w:jc w:val="both"/>
        <w:rPr>
          <w:rFonts w:asciiTheme="minorHAnsi" w:hAnsiTheme="minorHAnsi" w:cs="Arial"/>
          <w:bCs/>
        </w:rPr>
      </w:pPr>
      <w:r>
        <w:rPr>
          <w:rFonts w:asciiTheme="minorHAnsi" w:hAnsiTheme="minorHAnsi" w:cs="Arial"/>
          <w:bCs/>
        </w:rPr>
        <w:t>Jeder dritte gemeldete Corona-Arbeitsunfall wird anerkennt (33,97 %), jeder siebte wird nicht anerkannt (66,03 %)</w:t>
      </w:r>
    </w:p>
    <w:p>
      <w:pPr>
        <w:pStyle w:val="Listenabsatz"/>
        <w:numPr>
          <w:ilvl w:val="0"/>
          <w:numId w:val="43"/>
        </w:numPr>
        <w:spacing w:after="0" w:line="240" w:lineRule="auto"/>
        <w:jc w:val="both"/>
        <w:rPr>
          <w:rFonts w:asciiTheme="minorHAnsi" w:hAnsiTheme="minorHAnsi" w:cs="Arial"/>
          <w:bCs/>
        </w:rPr>
      </w:pPr>
      <w:r>
        <w:rPr>
          <w:rFonts w:asciiTheme="minorHAnsi" w:hAnsiTheme="minorHAnsi" w:cs="Arial"/>
          <w:bCs/>
        </w:rPr>
        <w:t xml:space="preserve">Der meisten gemeldeten Corona-Arbeitsunfälle entfielen mit 8.310 (62,17 % von gesamt) auf die Unfallkassen der Länder, mit 3.729 (27,9 % von </w:t>
      </w:r>
      <w:proofErr w:type="gramStart"/>
      <w:r>
        <w:rPr>
          <w:rFonts w:asciiTheme="minorHAnsi" w:hAnsiTheme="minorHAnsi" w:cs="Arial"/>
          <w:bCs/>
        </w:rPr>
        <w:t>gesamt)  auf</w:t>
      </w:r>
      <w:proofErr w:type="gramEnd"/>
      <w:r>
        <w:rPr>
          <w:rFonts w:asciiTheme="minorHAnsi" w:hAnsiTheme="minorHAnsi" w:cs="Arial"/>
          <w:bCs/>
        </w:rPr>
        <w:t xml:space="preserve"> die Berufsgenossenschaft Nahrungsmittel und Gastgewerbe (BGN) und mit 583 (4,36 % von gesamt) auf die Verwaltungsberufsgenossenschaft (VBG), </w:t>
      </w:r>
    </w:p>
    <w:p>
      <w:pPr>
        <w:pStyle w:val="Listenabsatz"/>
        <w:numPr>
          <w:ilvl w:val="0"/>
          <w:numId w:val="43"/>
        </w:numPr>
        <w:spacing w:after="0" w:line="240" w:lineRule="auto"/>
        <w:jc w:val="both"/>
        <w:rPr>
          <w:rFonts w:asciiTheme="minorHAnsi" w:hAnsiTheme="minorHAnsi" w:cs="Arial"/>
          <w:bCs/>
        </w:rPr>
      </w:pPr>
      <w:r>
        <w:rPr>
          <w:rFonts w:asciiTheme="minorHAnsi" w:hAnsiTheme="minorHAnsi" w:cs="Arial"/>
          <w:bCs/>
        </w:rPr>
        <w:t>Es wurden um mehr als ein Drittel weniger (27,04 %) Corona-Arbeitsunfälle gemeldet als Corona-Berufskrankheiten angezeigt (13.366 zu 49.424),</w:t>
      </w:r>
    </w:p>
    <w:p>
      <w:pPr>
        <w:pStyle w:val="Listenabsatz"/>
        <w:numPr>
          <w:ilvl w:val="0"/>
          <w:numId w:val="43"/>
        </w:numPr>
        <w:spacing w:after="0" w:line="240" w:lineRule="auto"/>
        <w:jc w:val="both"/>
        <w:rPr>
          <w:rFonts w:asciiTheme="minorHAnsi" w:hAnsiTheme="minorHAnsi" w:cs="Arial"/>
          <w:bCs/>
        </w:rPr>
      </w:pPr>
      <w:r>
        <w:rPr>
          <w:rFonts w:asciiTheme="minorHAnsi" w:hAnsiTheme="minorHAnsi" w:cs="Arial"/>
          <w:bCs/>
        </w:rPr>
        <w:t>Die Anerkennungsquote von Corona-Arbeitsunfällen (33,97 %) ist niedriger als die von Corona-Berufskrankheiten (56,23 %)</w:t>
      </w:r>
    </w:p>
    <w:sectPr>
      <w:headerReference w:type="default" r:id="rId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rPr>
        <w:color w:val="808080" w:themeColor="background1" w:themeShade="80"/>
      </w:rPr>
    </w:pPr>
    <w:r>
      <w:rPr>
        <w:color w:val="808080" w:themeColor="background1" w:themeShade="80"/>
      </w:rPr>
      <w:t>MdB-Büro Jutta Krellmann (Hannes Strobel, Bülent Kilavuz, 23.02.21)</w:t>
    </w:r>
    <w:r>
      <w:rPr>
        <w:color w:val="808080" w:themeColor="background1" w:themeShade="80"/>
      </w:rPr>
      <w:tab/>
    </w:r>
    <w:r>
      <w:rPr>
        <w:noProof/>
        <w:color w:val="808080" w:themeColor="background1" w:themeShade="80"/>
        <w:lang w:eastAsia="de-DE"/>
      </w:rPr>
      <w:drawing>
        <wp:inline distT="0" distB="0" distL="0" distR="0">
          <wp:extent cx="695325" cy="260603"/>
          <wp:effectExtent l="0" t="0" r="0" b="6350"/>
          <wp:docPr id="3" name="Grafik 3" descr="\\PARLAMENT\Benutzer\krellmajuma02\_unverschluesselt\Benutzerprofil\Desktop\LOGO LINKSFRAK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LAMENT\Benutzer\krellmajuma02\_unverschluesselt\Benutzerprofil\Desktop\LOGO LINKSFRAK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244" cy="266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451"/>
    <w:multiLevelType w:val="hybridMultilevel"/>
    <w:tmpl w:val="E430B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0E4AD9"/>
    <w:multiLevelType w:val="hybridMultilevel"/>
    <w:tmpl w:val="7090B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A1604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9365AF"/>
    <w:multiLevelType w:val="hybridMultilevel"/>
    <w:tmpl w:val="7DE2CEE6"/>
    <w:lvl w:ilvl="0" w:tplc="642C6A32">
      <w:numFmt w:val="bullet"/>
      <w:lvlText w:val="-"/>
      <w:lvlJc w:val="left"/>
      <w:pPr>
        <w:ind w:left="720" w:hanging="360"/>
      </w:pPr>
      <w:rPr>
        <w:rFonts w:ascii="Calibri" w:eastAsia="Arial"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E21A7D"/>
    <w:multiLevelType w:val="hybridMultilevel"/>
    <w:tmpl w:val="E4E6E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E049D0"/>
    <w:multiLevelType w:val="hybridMultilevel"/>
    <w:tmpl w:val="CB8081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5390F"/>
    <w:multiLevelType w:val="hybridMultilevel"/>
    <w:tmpl w:val="C7242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41137D"/>
    <w:multiLevelType w:val="hybridMultilevel"/>
    <w:tmpl w:val="90742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D2384F"/>
    <w:multiLevelType w:val="hybridMultilevel"/>
    <w:tmpl w:val="F3884F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C573A9"/>
    <w:multiLevelType w:val="hybridMultilevel"/>
    <w:tmpl w:val="1270D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010856"/>
    <w:multiLevelType w:val="hybridMultilevel"/>
    <w:tmpl w:val="DC0C41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2120A25"/>
    <w:multiLevelType w:val="hybridMultilevel"/>
    <w:tmpl w:val="2FD43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D965C5"/>
    <w:multiLevelType w:val="hybridMultilevel"/>
    <w:tmpl w:val="30DCDBB2"/>
    <w:lvl w:ilvl="0" w:tplc="49AA6F2A">
      <w:start w:val="1"/>
      <w:numFmt w:val="bullet"/>
      <w:lvlText w:val="-"/>
      <w:lvlJc w:val="left"/>
      <w:pPr>
        <w:ind w:left="720" w:hanging="360"/>
      </w:pPr>
      <w:rPr>
        <w:rFonts w:ascii="Calibri" w:eastAsia="Arial"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2D0193"/>
    <w:multiLevelType w:val="hybridMultilevel"/>
    <w:tmpl w:val="43965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275767"/>
    <w:multiLevelType w:val="hybridMultilevel"/>
    <w:tmpl w:val="A2BCAC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C827611"/>
    <w:multiLevelType w:val="hybridMultilevel"/>
    <w:tmpl w:val="52E0E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F54703"/>
    <w:multiLevelType w:val="hybridMultilevel"/>
    <w:tmpl w:val="E63662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425FFB"/>
    <w:multiLevelType w:val="hybridMultilevel"/>
    <w:tmpl w:val="8D429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9078BB"/>
    <w:multiLevelType w:val="hybridMultilevel"/>
    <w:tmpl w:val="E0EC5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98360F"/>
    <w:multiLevelType w:val="hybridMultilevel"/>
    <w:tmpl w:val="48A2D21E"/>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E24393F"/>
    <w:multiLevelType w:val="hybridMultilevel"/>
    <w:tmpl w:val="CEA2C6E4"/>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1076757"/>
    <w:multiLevelType w:val="hybridMultilevel"/>
    <w:tmpl w:val="109A32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3F5EF4"/>
    <w:multiLevelType w:val="hybridMultilevel"/>
    <w:tmpl w:val="2690D20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4A8B079B"/>
    <w:multiLevelType w:val="hybridMultilevel"/>
    <w:tmpl w:val="C838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6C1EA0"/>
    <w:multiLevelType w:val="hybridMultilevel"/>
    <w:tmpl w:val="2CB6B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9F487C"/>
    <w:multiLevelType w:val="hybridMultilevel"/>
    <w:tmpl w:val="957EAF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D81091"/>
    <w:multiLevelType w:val="hybridMultilevel"/>
    <w:tmpl w:val="81F4F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A95BFB"/>
    <w:multiLevelType w:val="hybridMultilevel"/>
    <w:tmpl w:val="117414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3B6D00"/>
    <w:multiLevelType w:val="hybridMultilevel"/>
    <w:tmpl w:val="E020A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9C0B41"/>
    <w:multiLevelType w:val="hybridMultilevel"/>
    <w:tmpl w:val="BD1C66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AB23A1"/>
    <w:multiLevelType w:val="hybridMultilevel"/>
    <w:tmpl w:val="40927060"/>
    <w:lvl w:ilvl="0" w:tplc="04070003">
      <w:start w:val="1"/>
      <w:numFmt w:val="bullet"/>
      <w:lvlText w:val="o"/>
      <w:lvlJc w:val="left"/>
      <w:pPr>
        <w:ind w:left="2205" w:hanging="360"/>
      </w:pPr>
      <w:rPr>
        <w:rFonts w:ascii="Courier New" w:hAnsi="Courier New" w:cs="Courier New" w:hint="default"/>
      </w:rPr>
    </w:lvl>
    <w:lvl w:ilvl="1" w:tplc="04070003" w:tentative="1">
      <w:start w:val="1"/>
      <w:numFmt w:val="bullet"/>
      <w:lvlText w:val="o"/>
      <w:lvlJc w:val="left"/>
      <w:pPr>
        <w:ind w:left="2925" w:hanging="360"/>
      </w:pPr>
      <w:rPr>
        <w:rFonts w:ascii="Courier New" w:hAnsi="Courier New" w:cs="Courier New" w:hint="default"/>
      </w:rPr>
    </w:lvl>
    <w:lvl w:ilvl="2" w:tplc="04070005" w:tentative="1">
      <w:start w:val="1"/>
      <w:numFmt w:val="bullet"/>
      <w:lvlText w:val=""/>
      <w:lvlJc w:val="left"/>
      <w:pPr>
        <w:ind w:left="3645" w:hanging="360"/>
      </w:pPr>
      <w:rPr>
        <w:rFonts w:ascii="Wingdings" w:hAnsi="Wingdings" w:hint="default"/>
      </w:rPr>
    </w:lvl>
    <w:lvl w:ilvl="3" w:tplc="04070001" w:tentative="1">
      <w:start w:val="1"/>
      <w:numFmt w:val="bullet"/>
      <w:lvlText w:val=""/>
      <w:lvlJc w:val="left"/>
      <w:pPr>
        <w:ind w:left="4365" w:hanging="360"/>
      </w:pPr>
      <w:rPr>
        <w:rFonts w:ascii="Symbol" w:hAnsi="Symbol" w:hint="default"/>
      </w:rPr>
    </w:lvl>
    <w:lvl w:ilvl="4" w:tplc="04070003" w:tentative="1">
      <w:start w:val="1"/>
      <w:numFmt w:val="bullet"/>
      <w:lvlText w:val="o"/>
      <w:lvlJc w:val="left"/>
      <w:pPr>
        <w:ind w:left="5085" w:hanging="360"/>
      </w:pPr>
      <w:rPr>
        <w:rFonts w:ascii="Courier New" w:hAnsi="Courier New" w:cs="Courier New" w:hint="default"/>
      </w:rPr>
    </w:lvl>
    <w:lvl w:ilvl="5" w:tplc="04070005" w:tentative="1">
      <w:start w:val="1"/>
      <w:numFmt w:val="bullet"/>
      <w:lvlText w:val=""/>
      <w:lvlJc w:val="left"/>
      <w:pPr>
        <w:ind w:left="5805" w:hanging="360"/>
      </w:pPr>
      <w:rPr>
        <w:rFonts w:ascii="Wingdings" w:hAnsi="Wingdings" w:hint="default"/>
      </w:rPr>
    </w:lvl>
    <w:lvl w:ilvl="6" w:tplc="04070001" w:tentative="1">
      <w:start w:val="1"/>
      <w:numFmt w:val="bullet"/>
      <w:lvlText w:val=""/>
      <w:lvlJc w:val="left"/>
      <w:pPr>
        <w:ind w:left="6525" w:hanging="360"/>
      </w:pPr>
      <w:rPr>
        <w:rFonts w:ascii="Symbol" w:hAnsi="Symbol" w:hint="default"/>
      </w:rPr>
    </w:lvl>
    <w:lvl w:ilvl="7" w:tplc="04070003" w:tentative="1">
      <w:start w:val="1"/>
      <w:numFmt w:val="bullet"/>
      <w:lvlText w:val="o"/>
      <w:lvlJc w:val="left"/>
      <w:pPr>
        <w:ind w:left="7245" w:hanging="360"/>
      </w:pPr>
      <w:rPr>
        <w:rFonts w:ascii="Courier New" w:hAnsi="Courier New" w:cs="Courier New" w:hint="default"/>
      </w:rPr>
    </w:lvl>
    <w:lvl w:ilvl="8" w:tplc="04070005" w:tentative="1">
      <w:start w:val="1"/>
      <w:numFmt w:val="bullet"/>
      <w:lvlText w:val=""/>
      <w:lvlJc w:val="left"/>
      <w:pPr>
        <w:ind w:left="7965" w:hanging="360"/>
      </w:pPr>
      <w:rPr>
        <w:rFonts w:ascii="Wingdings" w:hAnsi="Wingdings" w:hint="default"/>
      </w:rPr>
    </w:lvl>
  </w:abstractNum>
  <w:abstractNum w:abstractNumId="31" w15:restartNumberingAfterBreak="0">
    <w:nsid w:val="634A4D2C"/>
    <w:multiLevelType w:val="hybridMultilevel"/>
    <w:tmpl w:val="9A2E68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654019F9"/>
    <w:multiLevelType w:val="hybridMultilevel"/>
    <w:tmpl w:val="2312E2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9D2E15"/>
    <w:multiLevelType w:val="hybridMultilevel"/>
    <w:tmpl w:val="42F63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4616AE"/>
    <w:multiLevelType w:val="hybridMultilevel"/>
    <w:tmpl w:val="A57C3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2937BE"/>
    <w:multiLevelType w:val="hybridMultilevel"/>
    <w:tmpl w:val="F0A6C2C8"/>
    <w:lvl w:ilvl="0" w:tplc="20000003">
      <w:start w:val="1"/>
      <w:numFmt w:val="bullet"/>
      <w:lvlText w:val="o"/>
      <w:lvlJc w:val="left"/>
      <w:pPr>
        <w:ind w:left="1425" w:hanging="360"/>
      </w:pPr>
      <w:rPr>
        <w:rFonts w:ascii="Courier New" w:hAnsi="Courier New" w:cs="Courier New"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6" w15:restartNumberingAfterBreak="0">
    <w:nsid w:val="75B73311"/>
    <w:multiLevelType w:val="hybridMultilevel"/>
    <w:tmpl w:val="B448D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B8548B"/>
    <w:multiLevelType w:val="hybridMultilevel"/>
    <w:tmpl w:val="37AC39EE"/>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8" w15:restartNumberingAfterBreak="0">
    <w:nsid w:val="78231A4C"/>
    <w:multiLevelType w:val="hybridMultilevel"/>
    <w:tmpl w:val="F7EE2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665BAB"/>
    <w:multiLevelType w:val="hybridMultilevel"/>
    <w:tmpl w:val="ED1A86B0"/>
    <w:lvl w:ilvl="0" w:tplc="642C6A32">
      <w:numFmt w:val="bullet"/>
      <w:lvlText w:val="-"/>
      <w:lvlJc w:val="left"/>
      <w:pPr>
        <w:ind w:left="720" w:hanging="360"/>
      </w:pPr>
      <w:rPr>
        <w:rFonts w:ascii="Calibri" w:eastAsia="Arial"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77551B"/>
    <w:multiLevelType w:val="hybridMultilevel"/>
    <w:tmpl w:val="4E1CF5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7D4467E4"/>
    <w:multiLevelType w:val="hybridMultilevel"/>
    <w:tmpl w:val="DE18CBFC"/>
    <w:lvl w:ilvl="0" w:tplc="CAC22BB4">
      <w:start w:val="15"/>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1F3FA7"/>
    <w:multiLevelType w:val="hybridMultilevel"/>
    <w:tmpl w:val="3E8CE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
  </w:num>
  <w:num w:numId="4">
    <w:abstractNumId w:val="33"/>
  </w:num>
  <w:num w:numId="5">
    <w:abstractNumId w:val="23"/>
  </w:num>
  <w:num w:numId="6">
    <w:abstractNumId w:val="0"/>
  </w:num>
  <w:num w:numId="7">
    <w:abstractNumId w:val="7"/>
  </w:num>
  <w:num w:numId="8">
    <w:abstractNumId w:val="25"/>
  </w:num>
  <w:num w:numId="9">
    <w:abstractNumId w:val="24"/>
  </w:num>
  <w:num w:numId="10">
    <w:abstractNumId w:val="11"/>
  </w:num>
  <w:num w:numId="11">
    <w:abstractNumId w:val="13"/>
  </w:num>
  <w:num w:numId="12">
    <w:abstractNumId w:val="6"/>
  </w:num>
  <w:num w:numId="13">
    <w:abstractNumId w:val="20"/>
  </w:num>
  <w:num w:numId="14">
    <w:abstractNumId w:val="5"/>
  </w:num>
  <w:num w:numId="15">
    <w:abstractNumId w:val="31"/>
  </w:num>
  <w:num w:numId="16">
    <w:abstractNumId w:val="40"/>
  </w:num>
  <w:num w:numId="17">
    <w:abstractNumId w:val="21"/>
  </w:num>
  <w:num w:numId="18">
    <w:abstractNumId w:val="15"/>
  </w:num>
  <w:num w:numId="19">
    <w:abstractNumId w:val="17"/>
  </w:num>
  <w:num w:numId="20">
    <w:abstractNumId w:val="14"/>
  </w:num>
  <w:num w:numId="21">
    <w:abstractNumId w:val="28"/>
  </w:num>
  <w:num w:numId="22">
    <w:abstractNumId w:val="26"/>
  </w:num>
  <w:num w:numId="23">
    <w:abstractNumId w:val="38"/>
  </w:num>
  <w:num w:numId="24">
    <w:abstractNumId w:val="42"/>
  </w:num>
  <w:num w:numId="25">
    <w:abstractNumId w:val="18"/>
  </w:num>
  <w:num w:numId="26">
    <w:abstractNumId w:val="19"/>
  </w:num>
  <w:num w:numId="27">
    <w:abstractNumId w:val="9"/>
  </w:num>
  <w:num w:numId="28">
    <w:abstractNumId w:val="8"/>
  </w:num>
  <w:num w:numId="29">
    <w:abstractNumId w:val="4"/>
  </w:num>
  <w:num w:numId="30">
    <w:abstractNumId w:val="16"/>
  </w:num>
  <w:num w:numId="31">
    <w:abstractNumId w:val="29"/>
  </w:num>
  <w:num w:numId="32">
    <w:abstractNumId w:val="1"/>
  </w:num>
  <w:num w:numId="33">
    <w:abstractNumId w:val="27"/>
  </w:num>
  <w:num w:numId="34">
    <w:abstractNumId w:val="3"/>
  </w:num>
  <w:num w:numId="35">
    <w:abstractNumId w:val="39"/>
  </w:num>
  <w:num w:numId="36">
    <w:abstractNumId w:val="10"/>
  </w:num>
  <w:num w:numId="37">
    <w:abstractNumId w:val="41"/>
  </w:num>
  <w:num w:numId="38">
    <w:abstractNumId w:val="12"/>
  </w:num>
  <w:num w:numId="39">
    <w:abstractNumId w:val="22"/>
  </w:num>
  <w:num w:numId="40">
    <w:abstractNumId w:val="37"/>
  </w:num>
  <w:num w:numId="41">
    <w:abstractNumId w:val="32"/>
  </w:num>
  <w:num w:numId="42">
    <w:abstractNumId w:val="3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wMDQyMTM1NgEyTJR0lIJTi4sz8/NACoxrAe1chv0sAAAA"/>
  </w:docVar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9BA7DF5-6652-4DEC-B6CA-18760D84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lang w:eastAsia="en-US"/>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2"/>
      <w:szCs w:val="22"/>
      <w:lang w:eastAsia="en-US"/>
    </w:rPr>
  </w:style>
  <w:style w:type="table" w:styleId="Tabellenraster">
    <w:name w:val="Table Grid"/>
    <w:basedOn w:val="NormaleTabelle"/>
    <w:uiPriority w:val="5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Absatz-Standardschriftart"/>
    <w:rPr>
      <w:color w:val="auto"/>
    </w:rPr>
  </w:style>
  <w:style w:type="character" w:styleId="Hyperlink">
    <w:name w:val="Hyperlink"/>
    <w:basedOn w:val="Absatz-Standardschriftart"/>
    <w:uiPriority w:val="99"/>
    <w:unhideWhenUsed/>
    <w:rPr>
      <w:color w:val="0000FF" w:themeColor="hyperlink"/>
      <w:u w:val="single"/>
    </w:rPr>
  </w:style>
  <w:style w:type="table" w:customStyle="1" w:styleId="Tabellenraster1">
    <w:name w:val="Tabellenraster1"/>
    <w:basedOn w:val="NormaleTabelle"/>
    <w:next w:val="Tabellenraster"/>
    <w:uiPriority w:val="5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410771">
      <w:bodyDiv w:val="1"/>
      <w:marLeft w:val="0"/>
      <w:marRight w:val="0"/>
      <w:marTop w:val="0"/>
      <w:marBottom w:val="0"/>
      <w:divBdr>
        <w:top w:val="none" w:sz="0" w:space="0" w:color="auto"/>
        <w:left w:val="none" w:sz="0" w:space="0" w:color="auto"/>
        <w:bottom w:val="none" w:sz="0" w:space="0" w:color="auto"/>
        <w:right w:val="none" w:sz="0" w:space="0" w:color="auto"/>
      </w:divBdr>
    </w:div>
    <w:div w:id="1344168905">
      <w:bodyDiv w:val="1"/>
      <w:marLeft w:val="0"/>
      <w:marRight w:val="0"/>
      <w:marTop w:val="0"/>
      <w:marBottom w:val="0"/>
      <w:divBdr>
        <w:top w:val="none" w:sz="0" w:space="0" w:color="auto"/>
        <w:left w:val="none" w:sz="0" w:space="0" w:color="auto"/>
        <w:bottom w:val="none" w:sz="0" w:space="0" w:color="auto"/>
        <w:right w:val="none" w:sz="0" w:space="0" w:color="auto"/>
      </w:divBdr>
    </w:div>
    <w:div w:id="15183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F83A-EB47-4C77-A6E4-FC34528D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8841</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Fraktion - DIE LINKE</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mwischmann</dc:creator>
  <cp:lastModifiedBy>Jan Richter</cp:lastModifiedBy>
  <cp:revision>2</cp:revision>
  <cp:lastPrinted>2021-03-22T11:09:00Z</cp:lastPrinted>
  <dcterms:created xsi:type="dcterms:W3CDTF">2021-03-22T11:09:00Z</dcterms:created>
  <dcterms:modified xsi:type="dcterms:W3CDTF">2021-03-22T11:09:00Z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-1232101269</vt:i4>
  </property>
</Properties>
</file>